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BC73F7">
      <w:pPr>
        <w:keepNext w:val="0"/>
        <w:keepLines w:val="0"/>
        <w:pageBreakBefore w:val="0"/>
        <w:widowControl w:val="0"/>
        <w:kinsoku/>
        <w:wordWrap/>
        <w:overflowPunct/>
        <w:topLinePunct w:val="0"/>
        <w:autoSpaceDE/>
        <w:autoSpaceDN/>
        <w:bidi w:val="0"/>
        <w:adjustRightInd/>
        <w:snapToGrid/>
        <w:spacing w:before="0" w:after="0" w:line="240" w:lineRule="auto"/>
        <w:ind w:firstLine="0" w:firstLineChars="0"/>
        <w:jc w:val="center"/>
        <w:textAlignment w:val="auto"/>
        <w:rPr>
          <w:rFonts w:hint="default" w:ascii="Times New Roman" w:hAnsi="Times New Roman" w:eastAsia="黑体" w:cs="Times New Roman"/>
          <w:b/>
          <w:bCs/>
          <w:kern w:val="0"/>
          <w:sz w:val="44"/>
          <w:szCs w:val="44"/>
          <w:lang w:eastAsia="zh-CN" w:bidi="ar"/>
        </w:rPr>
      </w:pPr>
      <w:bookmarkStart w:id="0" w:name="_Hlk535245579"/>
    </w:p>
    <w:p w14:paraId="2D47EC66">
      <w:pPr>
        <w:keepNext w:val="0"/>
        <w:keepLines w:val="0"/>
        <w:pageBreakBefore w:val="0"/>
        <w:widowControl w:val="0"/>
        <w:kinsoku/>
        <w:wordWrap/>
        <w:overflowPunct/>
        <w:topLinePunct w:val="0"/>
        <w:autoSpaceDE/>
        <w:autoSpaceDN/>
        <w:bidi w:val="0"/>
        <w:adjustRightInd/>
        <w:snapToGrid/>
        <w:spacing w:line="480" w:lineRule="auto"/>
        <w:ind w:firstLine="0" w:firstLineChars="0"/>
        <w:jc w:val="center"/>
        <w:textAlignment w:val="auto"/>
        <w:rPr>
          <w:rFonts w:hint="default" w:ascii="Times New Roman" w:hAnsi="Times New Roman" w:eastAsia="黑体" w:cs="Times New Roman"/>
          <w:b/>
          <w:bCs/>
          <w:sz w:val="48"/>
          <w:szCs w:val="48"/>
          <w:lang w:eastAsia="zh-CN"/>
        </w:rPr>
      </w:pPr>
      <w:r>
        <w:rPr>
          <w:rFonts w:hint="eastAsia" w:ascii="Times New Roman" w:hAnsi="Times New Roman" w:eastAsia="黑体" w:cs="Times New Roman"/>
          <w:b/>
          <w:bCs/>
          <w:sz w:val="48"/>
          <w:szCs w:val="48"/>
          <w:lang w:eastAsia="zh-CN"/>
        </w:rPr>
        <w:t>泸定县全民健身体育中心建设项目</w:t>
      </w:r>
    </w:p>
    <w:p w14:paraId="4CE9DFAB">
      <w:pPr>
        <w:keepNext w:val="0"/>
        <w:keepLines w:val="0"/>
        <w:pageBreakBefore w:val="0"/>
        <w:widowControl w:val="0"/>
        <w:kinsoku/>
        <w:wordWrap/>
        <w:overflowPunct/>
        <w:topLinePunct w:val="0"/>
        <w:autoSpaceDE/>
        <w:autoSpaceDN/>
        <w:bidi w:val="0"/>
        <w:adjustRightInd/>
        <w:snapToGrid/>
        <w:spacing w:line="480" w:lineRule="auto"/>
        <w:ind w:firstLine="0" w:firstLineChars="0"/>
        <w:jc w:val="center"/>
        <w:textAlignment w:val="auto"/>
        <w:rPr>
          <w:rFonts w:hint="default" w:ascii="Times New Roman" w:hAnsi="Times New Roman" w:eastAsia="黑体" w:cs="Times New Roman"/>
          <w:b/>
          <w:bCs/>
          <w:sz w:val="48"/>
          <w:szCs w:val="48"/>
          <w:lang w:eastAsia="zh-CN"/>
        </w:rPr>
      </w:pPr>
      <w:r>
        <w:rPr>
          <w:rFonts w:hint="default" w:ascii="Times New Roman" w:hAnsi="Times New Roman" w:eastAsia="黑体" w:cs="Times New Roman"/>
          <w:b/>
          <w:bCs/>
          <w:sz w:val="48"/>
          <w:szCs w:val="48"/>
          <w:lang w:eastAsia="zh-CN"/>
        </w:rPr>
        <w:t>收益与融资自求平衡专项债券</w:t>
      </w:r>
    </w:p>
    <w:p w14:paraId="648BBAB8">
      <w:pPr>
        <w:ind w:firstLine="1044"/>
        <w:jc w:val="center"/>
        <w:rPr>
          <w:rFonts w:hint="default" w:ascii="Times New Roman" w:hAnsi="Times New Roman" w:eastAsia="黑体" w:cs="Times New Roman"/>
          <w:b/>
          <w:bCs/>
          <w:sz w:val="52"/>
          <w:szCs w:val="52"/>
        </w:rPr>
      </w:pPr>
    </w:p>
    <w:p w14:paraId="351462ED">
      <w:pPr>
        <w:ind w:firstLine="1044"/>
        <w:jc w:val="center"/>
        <w:rPr>
          <w:rFonts w:hint="default" w:ascii="Times New Roman" w:hAnsi="Times New Roman" w:eastAsia="黑体" w:cs="Times New Roman"/>
          <w:b/>
          <w:bCs/>
          <w:sz w:val="52"/>
          <w:szCs w:val="52"/>
        </w:rPr>
      </w:pPr>
    </w:p>
    <w:p w14:paraId="6E7570E0">
      <w:pPr>
        <w:pStyle w:val="17"/>
        <w:rPr>
          <w:rFonts w:hint="default" w:ascii="Times New Roman" w:hAnsi="Times New Roman" w:eastAsia="黑体" w:cs="Times New Roman"/>
          <w:b/>
          <w:bCs/>
          <w:sz w:val="52"/>
          <w:szCs w:val="52"/>
        </w:rPr>
      </w:pPr>
    </w:p>
    <w:p w14:paraId="059F04CE">
      <w:pPr>
        <w:pStyle w:val="17"/>
        <w:rPr>
          <w:rFonts w:hint="default" w:ascii="Times New Roman" w:hAnsi="Times New Roman" w:eastAsia="黑体" w:cs="Times New Roman"/>
          <w:b/>
          <w:bCs/>
          <w:sz w:val="52"/>
          <w:szCs w:val="52"/>
        </w:rPr>
      </w:pPr>
    </w:p>
    <w:p w14:paraId="30FCCE48">
      <w:pPr>
        <w:pStyle w:val="8"/>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rPr>
          <w:rFonts w:hint="default" w:ascii="Times New Roman" w:hAnsi="Times New Roman" w:cs="Times New Roman"/>
        </w:rPr>
      </w:pPr>
      <w:r>
        <w:rPr>
          <w:rFonts w:hint="eastAsia" w:ascii="Times New Roman" w:hAnsi="Times New Roman" w:eastAsia="方正小标宋简体" w:cs="Times New Roman"/>
          <w:sz w:val="44"/>
          <w:szCs w:val="44"/>
        </w:rPr>
        <w:t>（信息披露）</w:t>
      </w:r>
    </w:p>
    <w:p w14:paraId="5CE7CB01">
      <w:pPr>
        <w:pStyle w:val="8"/>
        <w:ind w:left="-140" w:right="-140"/>
        <w:rPr>
          <w:rFonts w:hint="default" w:ascii="Times New Roman" w:hAnsi="Times New Roman" w:cs="Times New Roman"/>
        </w:rPr>
      </w:pPr>
    </w:p>
    <w:p w14:paraId="4166C100">
      <w:pPr>
        <w:ind w:firstLine="0" w:firstLineChars="0"/>
        <w:jc w:val="center"/>
        <w:rPr>
          <w:rFonts w:hint="default" w:ascii="Times New Roman" w:hAnsi="Times New Roman" w:eastAsia="黑体" w:cs="Times New Roman"/>
          <w:sz w:val="32"/>
          <w:szCs w:val="32"/>
          <w:lang w:val="en-US" w:eastAsia="zh-CN"/>
        </w:rPr>
      </w:pPr>
    </w:p>
    <w:p w14:paraId="525C2141">
      <w:pPr>
        <w:pStyle w:val="17"/>
        <w:rPr>
          <w:rFonts w:hint="default" w:ascii="Times New Roman" w:hAnsi="Times New Roman" w:eastAsia="黑体" w:cs="Times New Roman"/>
          <w:sz w:val="32"/>
          <w:szCs w:val="32"/>
          <w:lang w:val="en-US" w:eastAsia="zh-CN"/>
        </w:rPr>
      </w:pPr>
    </w:p>
    <w:p w14:paraId="6F2E339A">
      <w:pPr>
        <w:pStyle w:val="17"/>
        <w:rPr>
          <w:rFonts w:hint="default" w:ascii="Times New Roman" w:hAnsi="Times New Roman" w:eastAsia="黑体" w:cs="Times New Roman"/>
          <w:sz w:val="32"/>
          <w:szCs w:val="32"/>
          <w:lang w:val="en-US" w:eastAsia="zh-CN"/>
        </w:rPr>
      </w:pPr>
    </w:p>
    <w:p w14:paraId="44EE2D27">
      <w:pPr>
        <w:pStyle w:val="17"/>
        <w:rPr>
          <w:rFonts w:hint="default" w:ascii="Times New Roman" w:hAnsi="Times New Roman" w:eastAsia="黑体" w:cs="Times New Roman"/>
          <w:sz w:val="32"/>
          <w:szCs w:val="32"/>
          <w:lang w:val="en-US" w:eastAsia="zh-CN"/>
        </w:rPr>
      </w:pPr>
    </w:p>
    <w:p w14:paraId="34E46BCD">
      <w:pPr>
        <w:keepNext w:val="0"/>
        <w:keepLines w:val="0"/>
        <w:pageBreakBefore w:val="0"/>
        <w:widowControl w:val="0"/>
        <w:kinsoku/>
        <w:wordWrap/>
        <w:overflowPunct/>
        <w:topLinePunct w:val="0"/>
        <w:autoSpaceDE/>
        <w:autoSpaceDN/>
        <w:bidi w:val="0"/>
        <w:adjustRightInd/>
        <w:snapToGrid/>
        <w:spacing w:after="380" w:line="360" w:lineRule="auto"/>
        <w:ind w:firstLine="0" w:firstLineChars="0"/>
        <w:jc w:val="center"/>
        <w:textAlignment w:val="auto"/>
        <w:rPr>
          <w:rFonts w:hint="default" w:ascii="Times New Roman" w:hAnsi="Times New Roman" w:eastAsia="黑体" w:cs="Times New Roman"/>
          <w:sz w:val="32"/>
          <w:szCs w:val="32"/>
          <w:lang w:val="en-US" w:eastAsia="zh-CN"/>
        </w:rPr>
      </w:pPr>
      <w:r>
        <w:rPr>
          <w:rFonts w:hint="default" w:ascii="Times New Roman" w:hAnsi="Times New Roman" w:eastAsia="黑体" w:cs="Times New Roman"/>
          <w:sz w:val="32"/>
          <w:szCs w:val="32"/>
        </w:rPr>
        <w:t>财政部门：</w:t>
      </w:r>
      <w:r>
        <w:rPr>
          <w:rFonts w:hint="eastAsia" w:ascii="Times New Roman" w:hAnsi="Times New Roman" w:eastAsia="黑体" w:cs="Times New Roman"/>
          <w:sz w:val="32"/>
          <w:szCs w:val="32"/>
          <w:lang w:val="en-US" w:eastAsia="zh-CN"/>
        </w:rPr>
        <w:t>泸定县</w:t>
      </w:r>
      <w:r>
        <w:rPr>
          <w:rFonts w:hint="default" w:ascii="Times New Roman" w:hAnsi="Times New Roman" w:eastAsia="黑体" w:cs="Times New Roman"/>
          <w:sz w:val="32"/>
          <w:szCs w:val="32"/>
          <w:lang w:val="en-US" w:eastAsia="zh-CN"/>
        </w:rPr>
        <w:t>财政局</w:t>
      </w:r>
    </w:p>
    <w:p w14:paraId="1BE1B8B3">
      <w:pPr>
        <w:keepNext w:val="0"/>
        <w:keepLines w:val="0"/>
        <w:pageBreakBefore w:val="0"/>
        <w:widowControl w:val="0"/>
        <w:kinsoku/>
        <w:wordWrap/>
        <w:overflowPunct/>
        <w:topLinePunct w:val="0"/>
        <w:autoSpaceDE/>
        <w:autoSpaceDN/>
        <w:bidi w:val="0"/>
        <w:adjustRightInd/>
        <w:snapToGrid/>
        <w:spacing w:after="380" w:line="360" w:lineRule="auto"/>
        <w:ind w:firstLine="0" w:firstLineChars="0"/>
        <w:jc w:val="center"/>
        <w:textAlignment w:val="auto"/>
        <w:rPr>
          <w:rFonts w:hint="default" w:ascii="Times New Roman" w:hAnsi="Times New Roman" w:eastAsia="黑体" w:cs="Times New Roman"/>
          <w:sz w:val="32"/>
          <w:szCs w:val="32"/>
          <w:lang w:val="en-US" w:eastAsia="zh-CN"/>
        </w:rPr>
      </w:pPr>
      <w:r>
        <w:rPr>
          <w:rFonts w:hint="eastAsia" w:ascii="Times New Roman" w:hAnsi="Times New Roman" w:eastAsia="黑体" w:cs="Times New Roman"/>
          <w:sz w:val="32"/>
          <w:szCs w:val="32"/>
          <w:lang w:val="en-US" w:eastAsia="zh-CN"/>
        </w:rPr>
        <w:t>发改部门：泸定县发展和改革局</w:t>
      </w:r>
    </w:p>
    <w:p w14:paraId="1863C4C1">
      <w:pPr>
        <w:keepNext w:val="0"/>
        <w:keepLines w:val="0"/>
        <w:pageBreakBefore w:val="0"/>
        <w:widowControl w:val="0"/>
        <w:kinsoku/>
        <w:wordWrap/>
        <w:overflowPunct/>
        <w:topLinePunct w:val="0"/>
        <w:autoSpaceDE/>
        <w:autoSpaceDN/>
        <w:bidi w:val="0"/>
        <w:adjustRightInd/>
        <w:snapToGrid/>
        <w:spacing w:after="380" w:line="360" w:lineRule="auto"/>
        <w:ind w:firstLine="0" w:firstLineChars="0"/>
        <w:jc w:val="center"/>
        <w:textAlignment w:val="auto"/>
        <w:rPr>
          <w:rFonts w:hint="default" w:ascii="Times New Roman" w:hAnsi="Times New Roman" w:eastAsia="黑体" w:cs="Times New Roman"/>
          <w:sz w:val="32"/>
          <w:szCs w:val="32"/>
          <w:lang w:val="en-US" w:eastAsia="zh-CN"/>
        </w:rPr>
      </w:pPr>
      <w:r>
        <w:rPr>
          <w:rFonts w:hint="eastAsia" w:ascii="Times New Roman" w:hAnsi="Times New Roman" w:eastAsia="黑体" w:cs="Times New Roman"/>
          <w:sz w:val="32"/>
          <w:szCs w:val="32"/>
          <w:lang w:val="en-US" w:eastAsia="zh-CN"/>
        </w:rPr>
        <w:t>主管部门</w:t>
      </w:r>
      <w:r>
        <w:rPr>
          <w:rFonts w:hint="default" w:ascii="Times New Roman" w:hAnsi="Times New Roman" w:eastAsia="黑体" w:cs="Times New Roman"/>
          <w:sz w:val="32"/>
          <w:szCs w:val="32"/>
          <w:lang w:val="en-US" w:eastAsia="zh-CN"/>
        </w:rPr>
        <w:t>：</w:t>
      </w:r>
      <w:bookmarkStart w:id="273" w:name="_GoBack"/>
      <w:bookmarkEnd w:id="273"/>
      <w:r>
        <w:rPr>
          <w:rFonts w:hint="eastAsia" w:eastAsia="黑体" w:cs="黑体"/>
          <w:caps w:val="0"/>
          <w:color w:val="auto"/>
          <w:sz w:val="32"/>
          <w:szCs w:val="32"/>
          <w:lang w:val="en-US" w:eastAsia="zh-CN"/>
        </w:rPr>
        <w:t>泸定县教育和体育局</w:t>
      </w:r>
    </w:p>
    <w:p w14:paraId="22D90749">
      <w:pPr>
        <w:keepNext w:val="0"/>
        <w:keepLines w:val="0"/>
        <w:pageBreakBefore w:val="0"/>
        <w:widowControl w:val="0"/>
        <w:kinsoku/>
        <w:wordWrap/>
        <w:overflowPunct/>
        <w:topLinePunct w:val="0"/>
        <w:autoSpaceDE/>
        <w:autoSpaceDN/>
        <w:bidi w:val="0"/>
        <w:adjustRightInd/>
        <w:snapToGrid/>
        <w:spacing w:after="380" w:line="360" w:lineRule="auto"/>
        <w:ind w:firstLine="0" w:firstLineChars="0"/>
        <w:jc w:val="center"/>
        <w:textAlignment w:val="auto"/>
        <w:rPr>
          <w:rFonts w:hint="default" w:ascii="Times New Roman" w:hAnsi="Times New Roman" w:eastAsia="黑体" w:cs="Times New Roman"/>
          <w:sz w:val="32"/>
          <w:szCs w:val="32"/>
          <w:lang w:val="en-US" w:eastAsia="zh-CN"/>
        </w:rPr>
      </w:pPr>
      <w:r>
        <w:rPr>
          <w:rFonts w:hint="default" w:ascii="Times New Roman" w:hAnsi="Times New Roman" w:eastAsia="黑体" w:cs="Times New Roman"/>
          <w:sz w:val="32"/>
          <w:szCs w:val="32"/>
          <w:lang w:val="en-US" w:eastAsia="zh-CN"/>
        </w:rPr>
        <w:t>业主单位：</w:t>
      </w:r>
      <w:r>
        <w:rPr>
          <w:rFonts w:hint="eastAsia" w:eastAsia="黑体" w:cs="黑体"/>
          <w:caps w:val="0"/>
          <w:color w:val="auto"/>
          <w:sz w:val="32"/>
          <w:szCs w:val="32"/>
          <w:lang w:val="en-US" w:eastAsia="zh-CN"/>
        </w:rPr>
        <w:t>泸定县教育和体育局</w:t>
      </w:r>
    </w:p>
    <w:p w14:paraId="30D49D22">
      <w:pPr>
        <w:spacing w:line="560" w:lineRule="exact"/>
        <w:jc w:val="center"/>
        <w:rPr>
          <w:rFonts w:hint="eastAsia" w:ascii="方正小标宋简体" w:eastAsia="方正小标宋简体"/>
          <w:sz w:val="28"/>
          <w:szCs w:val="28"/>
        </w:rPr>
        <w:sectPr>
          <w:pgSz w:w="11906" w:h="16838"/>
          <w:pgMar w:top="1440" w:right="1800" w:bottom="1440" w:left="1800" w:header="851" w:footer="992" w:gutter="0"/>
          <w:pgNumType w:fmt="numberInDash"/>
          <w:cols w:space="720" w:num="1"/>
          <w:docGrid w:type="lines" w:linePitch="312" w:charSpace="0"/>
        </w:sectPr>
      </w:pPr>
      <w:r>
        <w:rPr>
          <w:rFonts w:hint="default" w:ascii="Times New Roman" w:hAnsi="Times New Roman" w:eastAsia="黑体" w:cs="Times New Roman"/>
          <w:sz w:val="32"/>
          <w:szCs w:val="32"/>
        </w:rPr>
        <w:t>时间：202</w:t>
      </w:r>
      <w:r>
        <w:rPr>
          <w:rFonts w:hint="eastAsia" w:ascii="Times New Roman" w:hAnsi="Times New Roman" w:eastAsia="黑体" w:cs="Times New Roman"/>
          <w:sz w:val="32"/>
          <w:szCs w:val="32"/>
          <w:lang w:val="en-US" w:eastAsia="zh-CN"/>
        </w:rPr>
        <w:t>6</w:t>
      </w:r>
      <w:r>
        <w:rPr>
          <w:rFonts w:hint="default" w:ascii="Times New Roman" w:hAnsi="Times New Roman" w:eastAsia="黑体" w:cs="Times New Roman"/>
          <w:sz w:val="32"/>
          <w:szCs w:val="32"/>
        </w:rPr>
        <w:t>年</w:t>
      </w:r>
      <w:r>
        <w:rPr>
          <w:rFonts w:hint="eastAsia" w:ascii="Times New Roman" w:hAnsi="Times New Roman" w:eastAsia="黑体" w:cs="Times New Roman"/>
          <w:sz w:val="32"/>
          <w:szCs w:val="32"/>
          <w:lang w:val="en-US" w:eastAsia="zh-CN"/>
        </w:rPr>
        <w:t>1</w:t>
      </w:r>
      <w:r>
        <w:rPr>
          <w:rFonts w:hint="default" w:ascii="Times New Roman" w:hAnsi="Times New Roman" w:eastAsia="黑体" w:cs="Times New Roman"/>
          <w:sz w:val="32"/>
          <w:szCs w:val="32"/>
        </w:rPr>
        <w:t>月</w:t>
      </w:r>
    </w:p>
    <w:p w14:paraId="600E1A65">
      <w:pPr>
        <w:spacing w:line="560" w:lineRule="exact"/>
        <w:rPr>
          <w:rFonts w:hint="eastAsia" w:ascii="方正小标宋简体" w:eastAsia="方正小标宋简体"/>
          <w:sz w:val="28"/>
          <w:szCs w:val="28"/>
        </w:rPr>
      </w:pPr>
      <w:r>
        <w:rPr>
          <w:rFonts w:hint="eastAsia" w:ascii="方正小标宋简体" w:eastAsia="方正小标宋简体"/>
          <w:sz w:val="28"/>
          <w:szCs w:val="28"/>
        </w:rPr>
        <w:t>附件1</w:t>
      </w:r>
    </w:p>
    <w:p w14:paraId="62E18D13">
      <w:pPr>
        <w:spacing w:line="560" w:lineRule="exact"/>
        <w:jc w:val="center"/>
        <w:rPr>
          <w:rFonts w:hint="eastAsia" w:ascii="方正小标宋简体" w:eastAsia="方正小标宋简体"/>
          <w:sz w:val="44"/>
          <w:szCs w:val="44"/>
          <w:lang w:val="en-US" w:eastAsia="zh-CN"/>
        </w:rPr>
      </w:pPr>
      <w:r>
        <w:rPr>
          <w:rFonts w:hint="eastAsia" w:ascii="方正小标宋简体" w:eastAsia="方正小标宋简体"/>
          <w:sz w:val="44"/>
          <w:szCs w:val="44"/>
          <w:lang w:val="en-US" w:eastAsia="zh-CN"/>
        </w:rPr>
        <w:t>泸定县全民健身体育中心建设项目</w:t>
      </w:r>
    </w:p>
    <w:p w14:paraId="3BEE298F">
      <w:pPr>
        <w:spacing w:line="560" w:lineRule="exact"/>
        <w:jc w:val="center"/>
        <w:rPr>
          <w:rFonts w:hint="eastAsia" w:ascii="方正小标宋简体" w:eastAsia="方正小标宋简体"/>
          <w:sz w:val="44"/>
          <w:szCs w:val="44"/>
        </w:rPr>
      </w:pPr>
      <w:r>
        <w:rPr>
          <w:rFonts w:hint="eastAsia" w:ascii="方正小标宋简体" w:eastAsia="方正小标宋简体"/>
          <w:sz w:val="44"/>
          <w:szCs w:val="44"/>
        </w:rPr>
        <w:t>项目</w:t>
      </w:r>
      <w:bookmarkEnd w:id="0"/>
      <w:r>
        <w:rPr>
          <w:rFonts w:hint="eastAsia" w:ascii="方正小标宋简体" w:eastAsia="方正小标宋简体"/>
          <w:sz w:val="44"/>
          <w:szCs w:val="44"/>
        </w:rPr>
        <w:t>情况</w:t>
      </w:r>
    </w:p>
    <w:p w14:paraId="4F49E18D">
      <w:pPr>
        <w:spacing w:line="560" w:lineRule="exact"/>
        <w:ind w:firstLine="640" w:firstLineChars="200"/>
        <w:rPr>
          <w:rFonts w:ascii="仿宋_GB2312" w:eastAsia="仿宋_GB2312"/>
          <w:sz w:val="32"/>
          <w:szCs w:val="32"/>
        </w:rPr>
      </w:pPr>
    </w:p>
    <w:p w14:paraId="4EECE164">
      <w:pPr>
        <w:spacing w:line="560" w:lineRule="exact"/>
        <w:ind w:firstLine="640" w:firstLineChars="200"/>
        <w:rPr>
          <w:rFonts w:ascii="黑体" w:hAnsi="黑体" w:eastAsia="黑体"/>
          <w:sz w:val="32"/>
          <w:szCs w:val="32"/>
        </w:rPr>
      </w:pPr>
      <w:r>
        <w:rPr>
          <w:rFonts w:hint="eastAsia" w:ascii="黑体" w:hAnsi="黑体" w:eastAsia="黑体"/>
          <w:sz w:val="32"/>
          <w:szCs w:val="32"/>
        </w:rPr>
        <w:t>一、项目基本情况</w:t>
      </w:r>
    </w:p>
    <w:p w14:paraId="00BCD9D6">
      <w:pPr>
        <w:spacing w:line="560" w:lineRule="exact"/>
        <w:ind w:firstLine="643" w:firstLineChars="200"/>
        <w:rPr>
          <w:rFonts w:hint="eastAsia" w:ascii="楷体_GB2312" w:eastAsia="楷体_GB2312"/>
          <w:b/>
          <w:sz w:val="32"/>
          <w:szCs w:val="32"/>
        </w:rPr>
      </w:pPr>
      <w:r>
        <w:rPr>
          <w:rFonts w:hint="eastAsia" w:ascii="楷体_GB2312" w:eastAsia="楷体_GB2312"/>
          <w:b/>
          <w:sz w:val="32"/>
          <w:szCs w:val="32"/>
        </w:rPr>
        <w:t>（一）市县及行业专项规划概况</w:t>
      </w:r>
    </w:p>
    <w:p w14:paraId="4C39846D">
      <w:pPr>
        <w:pStyle w:val="16"/>
        <w:pageBreakBefore w:val="0"/>
        <w:kinsoku/>
        <w:wordWrap/>
        <w:overflowPunct/>
        <w:topLinePunct w:val="0"/>
        <w:autoSpaceDE/>
        <w:autoSpaceDN/>
        <w:bidi w:val="0"/>
        <w:adjustRightInd/>
        <w:snapToGrid/>
        <w:spacing w:before="0" w:after="0" w:line="360" w:lineRule="auto"/>
        <w:ind w:firstLine="640" w:firstLineChars="200"/>
        <w:jc w:val="both"/>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1.</w:t>
      </w:r>
      <w:bookmarkStart w:id="1" w:name="_Toc18938"/>
      <w:r>
        <w:rPr>
          <w:rFonts w:hint="eastAsia" w:ascii="仿宋_GB2312" w:hAnsi="仿宋_GB2312" w:eastAsia="仿宋_GB2312" w:cs="仿宋_GB2312"/>
          <w:sz w:val="32"/>
          <w:szCs w:val="32"/>
          <w:highlight w:val="none"/>
          <w:lang w:val="en-US" w:eastAsia="zh-CN"/>
        </w:rPr>
        <w:t>社会发展现状</w:t>
      </w:r>
      <w:bookmarkEnd w:id="1"/>
      <w:bookmarkStart w:id="2" w:name="ref_[1]_14685624"/>
    </w:p>
    <w:bookmarkEnd w:id="2"/>
    <w:p w14:paraId="77B012DA">
      <w:pPr>
        <w:pStyle w:val="16"/>
        <w:pageBreakBefore w:val="0"/>
        <w:kinsoku/>
        <w:wordWrap/>
        <w:overflowPunct/>
        <w:topLinePunct w:val="0"/>
        <w:autoSpaceDE/>
        <w:autoSpaceDN/>
        <w:bidi w:val="0"/>
        <w:adjustRightInd/>
        <w:snapToGrid/>
        <w:spacing w:before="0" w:after="0" w:line="360" w:lineRule="auto"/>
        <w:ind w:firstLine="640" w:firstLineChars="200"/>
        <w:jc w:val="both"/>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泸定县位于四川省甘孜藏族自治州东南部，地理位置北纬29°54′—30°10′，东经101°46′—102°25′。东与天全县、荥经县、汉源三县为邻，南与石棉县接壤，西与康定市、九龙县毗邻，国道318线及省道211线贯穿全境，东出236.2千米达省会成都（以雅康高速测算），北行49千米抵州府康定，素有“康巴东大门”之称。全县辖区面积2165.35平方千米。县城所在地泸桥镇海拔1321米。截至2022年，全县辖8镇1乡（泸桥镇、冷碛镇、兴隆镇、得妥镇、烹坝镇、德威镇、磨西镇、燕子沟镇、岚安乡）90个村民委员会、259个村（居）民小组（其中居民小组23个、村民小组236个）。</w:t>
      </w:r>
    </w:p>
    <w:p w14:paraId="55B795F0">
      <w:pPr>
        <w:pStyle w:val="16"/>
        <w:pageBreakBefore w:val="0"/>
        <w:kinsoku/>
        <w:wordWrap/>
        <w:overflowPunct/>
        <w:topLinePunct w:val="0"/>
        <w:autoSpaceDE/>
        <w:autoSpaceDN/>
        <w:bidi w:val="0"/>
        <w:adjustRightInd/>
        <w:snapToGrid/>
        <w:spacing w:before="0" w:after="0" w:line="360" w:lineRule="auto"/>
        <w:ind w:firstLine="640" w:firstLineChars="200"/>
        <w:jc w:val="both"/>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2022年，泸定全县户籍总户数27788户，总人口86234人，其中：城镇人口28969人，乡村人口57265人；当年人口出生率8.9‰，死亡率4.8‰，人口自然增长率4.1‰。境内居住有汉、藏、彝、羌、苗、回、蒙古、土家、傈僳、满、瑶、侗、纳西、布依、白、壮、傣族等民族，以汉、藏、彝族为主，占总人口比重分别为78.2%、16.0%、4.8%。2022年，全县常住人口8.38万人，其中城镇人口4.02万人。城镇化率48.0%，较上年增长0.7%。</w:t>
      </w:r>
    </w:p>
    <w:p w14:paraId="7A72F697">
      <w:pPr>
        <w:pStyle w:val="16"/>
        <w:pageBreakBefore w:val="0"/>
        <w:kinsoku/>
        <w:wordWrap/>
        <w:overflowPunct/>
        <w:topLinePunct w:val="0"/>
        <w:autoSpaceDE/>
        <w:autoSpaceDN/>
        <w:bidi w:val="0"/>
        <w:adjustRightInd/>
        <w:snapToGrid/>
        <w:spacing w:before="0" w:after="0" w:line="360" w:lineRule="auto"/>
        <w:ind w:firstLine="640" w:firstLineChars="200"/>
        <w:jc w:val="both"/>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2.经济发展现状</w:t>
      </w:r>
      <w:bookmarkStart w:id="3" w:name="3"/>
      <w:bookmarkEnd w:id="3"/>
      <w:bookmarkStart w:id="4" w:name="sub1550807_3"/>
      <w:bookmarkEnd w:id="4"/>
      <w:bookmarkStart w:id="5" w:name="行政区划"/>
      <w:bookmarkEnd w:id="5"/>
      <w:bookmarkStart w:id="6" w:name="_Toc26494"/>
    </w:p>
    <w:bookmarkEnd w:id="6"/>
    <w:p w14:paraId="7BF47AED">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泸定县2023年全县实现地区生产总值(GDP)354577万元(现价)，同比增长4.0%(按可比价计算，下同)。其中:第-产业增加值70348万元,同比增长4.4%;第二产业增加值86385万元,同比增长2.0%;第三产业增加值197844万元,同比增长4.9%。三次产业增加值对GDP增长的贡献率分别为23.9%、12.0%和64.1%;三次产业分别拉动GDP增长0.97个、0.48个和2.59个百分点;三次产业占比分别为22.1%、24.1%和53.8%;人均GDP 达到 41797元。</w:t>
      </w:r>
    </w:p>
    <w:p w14:paraId="6DE39B55">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民营经济复苏向好，2023年全县实现民营经济增加值168915万元，同比增长5.2%，占地区生产总值的比重为47.6%。其中:实现第一产业增加值42559万元，同比增长4.8%:实现第二产业增加值25397万元，同比下降26.9%;实现第三产业增加值100959万元，同比增长 16.9%。</w:t>
      </w:r>
    </w:p>
    <w:p w14:paraId="7D0955EF">
      <w:pPr>
        <w:pageBreakBefore w:val="0"/>
        <w:numPr>
          <w:ilvl w:val="0"/>
          <w:numId w:val="0"/>
        </w:numPr>
        <w:kinsoku/>
        <w:wordWrap/>
        <w:overflowPunct/>
        <w:topLinePunct w:val="0"/>
        <w:autoSpaceDE/>
        <w:autoSpaceDN/>
        <w:bidi w:val="0"/>
        <w:adjustRightInd/>
        <w:snapToGrid/>
        <w:spacing w:line="360" w:lineRule="auto"/>
        <w:ind w:firstLine="640" w:firstLineChars="200"/>
        <w:textAlignment w:val="auto"/>
        <w:rPr>
          <w:rFonts w:hint="default" w:ascii="仿宋_GB2312" w:hAnsi="仿宋_GB2312" w:eastAsia="仿宋_GB2312" w:cs="仿宋_GB2312"/>
          <w:sz w:val="32"/>
          <w:szCs w:val="32"/>
          <w:highlight w:val="none"/>
          <w:lang w:val="en-US" w:eastAsia="zh-CN"/>
        </w:rPr>
      </w:pPr>
      <w:r>
        <w:rPr>
          <w:rFonts w:hint="eastAsia" w:ascii="仿宋_GB2312" w:hAnsi="仿宋_GB2312" w:eastAsia="仿宋_GB2312" w:cs="仿宋_GB2312"/>
          <w:kern w:val="2"/>
          <w:sz w:val="32"/>
          <w:szCs w:val="32"/>
          <w:lang w:val="en-US" w:eastAsia="zh-CN" w:bidi="ar-SA"/>
        </w:rPr>
        <w:t>3.政策规划</w:t>
      </w:r>
    </w:p>
    <w:p w14:paraId="104F2908">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b w:val="0"/>
          <w:bCs w:val="0"/>
          <w:sz w:val="32"/>
          <w:szCs w:val="32"/>
          <w:highlight w:val="none"/>
          <w:lang w:val="en-US" w:eastAsia="zh-CN"/>
        </w:rPr>
      </w:pPr>
      <w:r>
        <w:rPr>
          <w:rFonts w:hint="eastAsia" w:ascii="仿宋_GB2312" w:hAnsi="仿宋_GB2312" w:eastAsia="仿宋_GB2312" w:cs="仿宋_GB2312"/>
          <w:b w:val="0"/>
          <w:bCs w:val="0"/>
          <w:sz w:val="32"/>
          <w:szCs w:val="32"/>
          <w:highlight w:val="none"/>
          <w:lang w:val="en-US" w:eastAsia="zh-CN"/>
        </w:rPr>
        <w:t>①国务院办公厅《体育强国建设纲要》（国办发〔2019〕40号）</w:t>
      </w:r>
    </w:p>
    <w:p w14:paraId="6636BF4D">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战略目标：到2035年，形成政府主导有力、社会规范有序、市场充满活力、人民积极参与、社会组织健康发展、公共服务完善、与基本实现现代化相适应的体育发展新格局，体育治理体系和治理能力实现现代化。全民健身更亲民、更便利、更普及，经常参加体育锻炼人数比例达到45%以上，人均体育场地面积达到2.5平方米，城乡居民达到《国民体质测定标准》合格以上的人数比例超过92%；青少年体育服务体系更加健全，身体素养显著提升，健康状况明显改善；竞技体育更好、更快、更高、更强，夏季项目与冬季项目、男子项目与女子项目、职业体育与专业体育、“三大球”与基础大项等实现均衡发展，综合实力和国际影响力大幅提升；体育产业更大、更活、更优，成为国民经济支柱性产业；体育文化感召力、影响力、凝聚力不断提高，中华体育精神传承发扬；体育对外和对港澳台交往更活跃、更全面、更协调，成为中国特色大国外交和“一国两制”事业的重要方面。</w:t>
      </w:r>
    </w:p>
    <w:p w14:paraId="7E91E6D2">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②《“十四五”体育发展规划》（体发〔2021〕2号）</w:t>
      </w:r>
    </w:p>
    <w:p w14:paraId="7C0B7176">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通过未来5年努力，各领域、各项目、各区域实现较大发展、取得重要成果，体育发展的基础更加坚实，体育强国的四梁八柱基本形成。</w:t>
      </w:r>
    </w:p>
    <w:p w14:paraId="075D005F">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主要目标：全民健身水平达到新高度，人均体育场地面积达到2.6平方米，经常参加体育锻炼人数比例达到38.5%，每千人拥有社会体育指导员2.16名。青少年体育发展进入新阶段，健康第一的理念深入人心，体教融合取得实质性进展，青少年普遍掌握1-2项运动技能，体育活动更加广泛深入，体育促进青少年身心健康取得新进展。体育产业发展形成新成果，体育产业高质量发展取得显著进展，产品和服务供给适应个性化、差异化、品质化消费需求，基本形成消费引领、创新驱动、主体活跃、结构更优的发展格局。</w:t>
      </w:r>
    </w:p>
    <w:p w14:paraId="4E5508A3">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落实全民健身国家战略，推进健康中国建设，构建体制机制更灵活、要素支撑更强大、资源分布更均衡、健身设施更便捷、赛事活动更丰富、体育组织更健全、健身指导更科学、群众参与更广泛的全民健身公共服务体系。推进全民健身场地设施建设，组织实施全民健身场地设施补短板工程，利用中央资金支持地方重点推进体育公园、全民健身中心、公共体育场、社会足球场、健身步道、户外运动公共服务设施建设。</w:t>
      </w:r>
    </w:p>
    <w:p w14:paraId="0A757B9E">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坚持供需两端发力，推动体育产业高质量发展，推动建设体育新空间，创造体育消费新场景，打造一批地域特色鲜明、服务功能完善、经济效益良好的体育服务综合体。</w:t>
      </w:r>
    </w:p>
    <w:p w14:paraId="608DA046">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支持特殊类型地区体育发展，以体育需求为导向，加大对西部地区体育事业发展的扶持力度，重点加强西部地区体育基础设施和体育公共服务体系建设。加快发展革命老区、民族地区、边疆地区、欠发达地区等特殊类型地区体育事业。</w:t>
      </w:r>
    </w:p>
    <w:p w14:paraId="5B0FE8BA">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③《全民健身计划（2021—2025年）》（国发〔2021〕11号）</w:t>
      </w:r>
    </w:p>
    <w:p w14:paraId="4A022FD5">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发展目标：到2025年，全民健身公共服务体系更加完善，人民群众体育健身更加便利，健身热情进一步提高，各运动项目参与人数持续提升，经常参加体育锻炼人数比例达到38.5%，县（市、区）、乡镇（街道）、行政村（社区）三级公共健身设施和社区15分钟健身圈实现全覆盖，每千人拥有社会体育指导员2.16名，带动全国体育产业总规模达到5万亿元。</w:t>
      </w:r>
    </w:p>
    <w:p w14:paraId="21137B82">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加大全民健身场地设施供给。制定国家步道体系建设总体方案和体育公园建设指导意见，督导各地制定健身设施建设补短板五年行动计划，实施全民健身设施补短板工程。盘活城市空闲土地，用好公益性建设用地，支持以租赁方式供地，倡导土地复合利用，充分挖掘存量建设用地潜力，规划建设贴近社区、方便可达的场地设施。新建或改扩建2000个以上体育公园、全民健身中心、公共体育场馆等健身场地设施，补齐5000个以上乡镇（街道）全民健身场地器材，配建一批群众滑冰场，数字化升级改造1000个以上公共体育场馆。</w:t>
      </w:r>
    </w:p>
    <w:p w14:paraId="16C3149D">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④四川省体育局关于印发《四川省体育发展“十四五”规划》的通知</w:t>
      </w:r>
    </w:p>
    <w:p w14:paraId="0F3BC73A">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主要目标：到2025年，人均体育场地面积达到2.6平方米，经常参加体育锻炼的人数比例达到38.5%，《国民体质测定标准》合格以上人数比例达到91.5%，每千人拥有社会体育指导员不少于3.19名。青少年体育基础更实，深化体教融合发展，青少年普遍掌握1-2项运动技能，构建青少年健康促进、青少年体育训练、青少年体育竞赛“三大体系”，培养和输送一批高水平竞技体育后备人才，基本形成体系健全、制度完善、融合发展的青少年体育发展新格局。</w:t>
      </w:r>
    </w:p>
    <w:p w14:paraId="70EE65E8">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统筹建设一批乡镇（街道）健身中心、社区健身中心、多功能运动场、体育公园、健身步道、社会足球场、城市绿道、户外运动公共服务设施等全民健身场地设施示范项目。持续推动200个以上大、中小型公共体育场馆免费或低收费开放服务，推进川渝公共体育场馆共建共享。支持民族地区、欠发达地区加强全民健身场地设施建设。</w:t>
      </w:r>
    </w:p>
    <w:p w14:paraId="2687526E">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构建体育产业高质量发展体系，打造“经济版图”，深度融入“一干多支、五区协同”区域发展新格局，结合全省体育产业资源禀赋条件，按照“111335”体育产业发展思路，构建“一核一轴四带五区”体育产业空间布局。充分发挥成都“头雁引领”极核作用，引领带动全省体育产业加快发展。加快推进环成都、川南、川东北、攀西、川西北生态等5个体育产业发展区协同发展。构建成渝体育产业发展主轴，建立成渝体育产业联盟，支撑带动川渝体育产业一体化发展，与重庆市共建国家体育旅游示范区、国家级体育产业协同创新中心。</w:t>
      </w:r>
    </w:p>
    <w:p w14:paraId="4B2C1268">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drawing>
          <wp:inline distT="0" distB="0" distL="114300" distR="114300">
            <wp:extent cx="4298950" cy="2909570"/>
            <wp:effectExtent l="9525" t="9525" r="15875" b="1460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4298950" cy="2909570"/>
                    </a:xfrm>
                    <a:prstGeom prst="rect">
                      <a:avLst/>
                    </a:prstGeom>
                    <a:noFill/>
                    <a:ln>
                      <a:solidFill>
                        <a:schemeClr val="tx1"/>
                      </a:solidFill>
                    </a:ln>
                  </pic:spPr>
                </pic:pic>
              </a:graphicData>
            </a:graphic>
          </wp:inline>
        </w:drawing>
      </w:r>
    </w:p>
    <w:p w14:paraId="5D0A72DA">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四川省“十四五”体育产业发展空间布局图</w:t>
      </w:r>
    </w:p>
    <w:p w14:paraId="7444873A">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夯实壮大体育服务综合体、体育产业基地、体育产业创新试验区三大发展载体，引导鼓励地方依托体育场馆、全民健身中心、体育训练基地、废旧厂房、城市商业中心、体育公园等空间载体，建成星级体育服务综合体500个，其中，四星级以上体育服务综合体50个。</w:t>
      </w:r>
    </w:p>
    <w:p w14:paraId="4D3786C4">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⑤四川省体育局关于《四川省“三大球”振兴计划（2023-2035年）（征求意见稿）》</w:t>
      </w:r>
    </w:p>
    <w:p w14:paraId="6BF94AAD">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主要目标：到2025年，“三大球”振兴走在全国前列。巴黎奥运会中国队均有四川运动员，粤港澳全运会实现新突破。“三大球”公共服务体系基本健全，全社会积极投身“三大球”发展的良好氛围基本形成。青少年参与人数大幅增加，建成一批基础扎实的高水平梯队。四川特色“三大球”文化日益彰显。“三大球”产业初具规模，年产值突破5亿元。</w:t>
      </w:r>
    </w:p>
    <w:p w14:paraId="32099C07">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加强专业场馆建设。贯彻落实“一干多支、五区协同”战略，按照“东西南北中”“平原高原”“夏训冬训”布局，各市（州）结合项目资源建设“三大球”智能化综合性训练基地。将“三大球”场地设施纳入各级政府公共体育服务设施建设目录，根据人口规模、自然条件、经济社会发展水平配置完善场地设施。</w:t>
      </w:r>
    </w:p>
    <w:p w14:paraId="40727B34">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⑥四川省人民政府《四川省全民健身实施计划》（川府发〔2022〕6号）</w:t>
      </w:r>
    </w:p>
    <w:p w14:paraId="4DA75D88">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发展目标：到2025年，全民健身公共服务体系更加完善，场地设施建设持续加强，健身组织活力充分彰显，赛事活动全域化推进，科学健身服务常态化开展，人民群众健身热情进一步提高，经常参加体育锻炼人数比例达到38.5%，县（市、区）、乡镇（街道）、行政村（社区）三级公共体育健身设施和社区15分钟健身圈实现全覆盖，每千人拥有社会体育指导员3.19名，群众体育引领员队伍达到100万人。</w:t>
      </w:r>
    </w:p>
    <w:p w14:paraId="0D0A28E4">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各县（市、区）建设与人口规模相适应的公共体育场、全民健身中心、体育公园，并选建公共体育馆、游泳馆、健身广场、滑冰馆等。支持民族地区、欠发达地区建设全民健身场地设施。到2025年，全省新建（改扩建）体育公园、健身步道、乡镇（街道）健身中心、社区健身中心、多功能运动场、社区足球场等各类全民健身设施项目2200个以上。</w:t>
      </w:r>
    </w:p>
    <w:p w14:paraId="4F11651A">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⑦甘孜藏族自治州人民政府关于印发《甘孜州教育体育事业发展“十四五”规划》的通知（甘府发〔2022〕4号）</w:t>
      </w:r>
    </w:p>
    <w:p w14:paraId="612AE3AF">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发展目标：到2025年，人均体育场地面积达到2.0平方米，经常参加体育锻炼人数达到38.5%。群众对教育体育的满意指数不断提高。体育健身公共服务体系更加健全，体育基础设施不断完善，健身环境更加舒适，人民体质显著增强。竞技体育项目结构更加优化，青少年体育基础更加夯实，现代体育产业体系及市场主体不断壮大，体育文化影响力不断提升。</w:t>
      </w:r>
    </w:p>
    <w:p w14:paraId="69AB21E5">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⑧甘孜州教育和体育局关于印发《甘孜州深化体教融合促进青少年健康发展的实施意见》的通知</w:t>
      </w:r>
    </w:p>
    <w:p w14:paraId="441F105D">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发展目标：到2025年，基本形成体系健全的体教融合工作机制，建成一支能满足学校体育发展的专兼职体育教师队伍，学生普遍掌握1至2项运动技能，基本形成“一校一品”“一校多品”的学校体育发展格局，各级青少年赛事体系日趋丰富完善，在青少年中形成“热爱运动、热爱生活”的良好氛围。全州中小学生体质健康水平不断提升，国家体质健康标准优良率达50%以上。通过分层分类培养选拔，发现和培养竞技体育优秀后备人才，积极向上级专业运动队、职业运动队输送，提高我州竞技体育人才贡献率，基本形成多样化、现代化、高质量的青少年体育公共服务体系。</w:t>
      </w:r>
    </w:p>
    <w:p w14:paraId="65E0BB18">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⑨《泸定县国土空间总体规划（2022-2035）》</w:t>
      </w:r>
    </w:p>
    <w:p w14:paraId="7B32ECAE">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完善全域公共服务设施体系。分级配套四级生活圈：① 三次生活圈--辐射全县域，县城为服务中心。综合公共服务设施、参考“15分钟城乡生活圈”进行配置。体育设施：综合体育中心。② 二次生活圈--3个城乡发展片区，中心镇为服务中心。包含中心镇和一般乡镇。分级配套，结合片区采取部分乡镇共建与区域共建服务设施。体育设施：室外运动场、室内体育活动室（中心镇配健身中心）。③ 一次生活圈--25个村级片区，中心村为服务中心。包含中心村和一般村。体育设施：篮球场。④ 基本生活圈--居民点划分小单元，结合地形和居住点区域划分小单元。体育设施：全民健身广场。</w:t>
      </w:r>
    </w:p>
    <w:p w14:paraId="7B6E7A37">
      <w:pPr>
        <w:pageBreakBefore w:val="0"/>
        <w:kinsoku/>
        <w:wordWrap/>
        <w:overflowPunct/>
        <w:topLinePunct w:val="0"/>
        <w:autoSpaceDE/>
        <w:autoSpaceDN/>
        <w:bidi w:val="0"/>
        <w:adjustRightInd/>
        <w:snapToGrid/>
        <w:spacing w:line="360" w:lineRule="auto"/>
        <w:ind w:firstLine="640" w:firstLineChars="200"/>
        <w:textAlignment w:val="auto"/>
        <w:rPr>
          <w:rFonts w:hint="default"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承接州级公共服务设施疏解。结合城乡融合片区的主导产业功能，提升符合产业发展的特色高品质配套设施，提升城乡服务品质。文体：增加文化宣传、传习类服务设施，加强体育设施承办民族特色体育赛事，强化旅游咨询类、游憩类设施。</w:t>
      </w:r>
    </w:p>
    <w:p w14:paraId="1289ACB0">
      <w:pPr>
        <w:spacing w:line="560" w:lineRule="exact"/>
        <w:ind w:firstLine="643" w:firstLineChars="200"/>
        <w:rPr>
          <w:rFonts w:ascii="楷体_GB2312" w:eastAsia="楷体_GB2312"/>
          <w:b/>
          <w:sz w:val="32"/>
          <w:szCs w:val="32"/>
        </w:rPr>
      </w:pPr>
      <w:r>
        <w:rPr>
          <w:rFonts w:hint="eastAsia" w:ascii="楷体_GB2312" w:eastAsia="楷体_GB2312"/>
          <w:b/>
          <w:sz w:val="32"/>
          <w:szCs w:val="32"/>
        </w:rPr>
        <w:t>（二）项目情况</w:t>
      </w:r>
    </w:p>
    <w:p w14:paraId="7588B1BC">
      <w:pPr>
        <w:spacing w:line="560" w:lineRule="exact"/>
        <w:ind w:firstLine="643" w:firstLineChars="200"/>
        <w:rPr>
          <w:rFonts w:hint="eastAsia" w:ascii="仿宋_GB2312" w:eastAsia="仿宋_GB2312"/>
          <w:b/>
          <w:sz w:val="32"/>
          <w:szCs w:val="32"/>
        </w:rPr>
      </w:pPr>
      <w:r>
        <w:rPr>
          <w:rFonts w:hint="eastAsia" w:ascii="仿宋_GB2312" w:eastAsia="仿宋_GB2312"/>
          <w:b/>
          <w:sz w:val="32"/>
          <w:szCs w:val="32"/>
        </w:rPr>
        <w:t>1．参与主体</w:t>
      </w:r>
    </w:p>
    <w:p w14:paraId="2F7EAF54">
      <w:pPr>
        <w:pageBreakBefore w:val="0"/>
        <w:kinsoku/>
        <w:wordWrap/>
        <w:overflowPunct/>
        <w:topLinePunct w:val="0"/>
        <w:autoSpaceDE/>
        <w:autoSpaceDN/>
        <w:bidi w:val="0"/>
        <w:adjustRightInd/>
        <w:snapToGrid/>
        <w:spacing w:line="360" w:lineRule="auto"/>
        <w:ind w:firstLine="643" w:firstLineChars="200"/>
        <w:textAlignment w:val="auto"/>
        <w:rPr>
          <w:rFonts w:hint="default" w:ascii="仿宋_GB2312" w:hAnsi="仿宋_GB2312" w:eastAsia="仿宋_GB2312" w:cs="仿宋_GB2312"/>
          <w:sz w:val="32"/>
          <w:szCs w:val="32"/>
          <w:highlight w:val="none"/>
          <w:lang w:val="en-US" w:eastAsia="zh-CN"/>
        </w:rPr>
      </w:pPr>
      <w:r>
        <w:rPr>
          <w:rFonts w:hint="eastAsia" w:ascii="仿宋_GB2312" w:hAnsi="仿宋_GB2312" w:eastAsia="仿宋_GB2312" w:cs="仿宋_GB2312"/>
          <w:b/>
          <w:bCs/>
          <w:sz w:val="32"/>
          <w:szCs w:val="32"/>
          <w:highlight w:val="none"/>
          <w:lang w:val="en-US" w:eastAsia="zh-CN"/>
        </w:rPr>
        <w:t>主管部门</w:t>
      </w:r>
      <w:r>
        <w:rPr>
          <w:rFonts w:hint="default" w:ascii="仿宋_GB2312" w:hAnsi="仿宋_GB2312" w:eastAsia="仿宋_GB2312" w:cs="仿宋_GB2312"/>
          <w:b/>
          <w:bCs/>
          <w:sz w:val="32"/>
          <w:szCs w:val="32"/>
          <w:highlight w:val="none"/>
          <w:lang w:val="en-US" w:eastAsia="zh-CN"/>
        </w:rPr>
        <w:t>：</w:t>
      </w:r>
      <w:r>
        <w:rPr>
          <w:rFonts w:hint="eastAsia" w:ascii="仿宋_GB2312" w:hAnsi="仿宋_GB2312" w:eastAsia="仿宋_GB2312" w:cs="仿宋_GB2312"/>
          <w:sz w:val="32"/>
          <w:szCs w:val="32"/>
          <w:highlight w:val="none"/>
          <w:lang w:val="en-US" w:eastAsia="zh-CN"/>
        </w:rPr>
        <w:t>泸定县教育和体育局</w:t>
      </w:r>
    </w:p>
    <w:p w14:paraId="0D5844DA">
      <w:pPr>
        <w:pageBreakBefore w:val="0"/>
        <w:kinsoku/>
        <w:wordWrap/>
        <w:overflowPunct/>
        <w:topLinePunct w:val="0"/>
        <w:autoSpaceDE/>
        <w:autoSpaceDN/>
        <w:bidi w:val="0"/>
        <w:adjustRightInd/>
        <w:snapToGrid/>
        <w:spacing w:line="360" w:lineRule="auto"/>
        <w:ind w:firstLine="643" w:firstLineChars="200"/>
        <w:textAlignment w:val="auto"/>
        <w:rPr>
          <w:rFonts w:hint="eastAsia" w:ascii="仿宋_GB2312" w:hAnsi="仿宋_GB2312" w:eastAsia="仿宋_GB2312" w:cs="仿宋_GB2312"/>
          <w:sz w:val="32"/>
          <w:szCs w:val="32"/>
          <w:highlight w:val="none"/>
          <w:lang w:val="en-US" w:eastAsia="zh-CN"/>
        </w:rPr>
      </w:pPr>
      <w:r>
        <w:rPr>
          <w:rFonts w:hint="default" w:ascii="仿宋_GB2312" w:hAnsi="仿宋_GB2312" w:eastAsia="仿宋_GB2312" w:cs="仿宋_GB2312"/>
          <w:b/>
          <w:bCs/>
          <w:sz w:val="32"/>
          <w:szCs w:val="32"/>
          <w:highlight w:val="none"/>
          <w:lang w:val="en-US" w:eastAsia="zh-CN"/>
        </w:rPr>
        <w:t>业主单位：</w:t>
      </w:r>
      <w:r>
        <w:rPr>
          <w:rFonts w:hint="eastAsia" w:ascii="仿宋_GB2312" w:hAnsi="仿宋_GB2312" w:eastAsia="仿宋_GB2312" w:cs="仿宋_GB2312"/>
          <w:sz w:val="32"/>
          <w:szCs w:val="32"/>
          <w:highlight w:val="none"/>
          <w:lang w:val="en-US" w:eastAsia="zh-CN"/>
        </w:rPr>
        <w:t>泸定县教育和体育局</w:t>
      </w:r>
    </w:p>
    <w:p w14:paraId="484FEE6C">
      <w:pPr>
        <w:numPr>
          <w:ilvl w:val="0"/>
          <w:numId w:val="0"/>
        </w:numPr>
        <w:spacing w:line="560" w:lineRule="exact"/>
        <w:ind w:firstLine="643" w:firstLineChars="200"/>
        <w:rPr>
          <w:rFonts w:hint="eastAsia" w:ascii="仿宋_GB2312" w:eastAsia="仿宋_GB2312"/>
          <w:b/>
          <w:sz w:val="32"/>
          <w:szCs w:val="32"/>
        </w:rPr>
      </w:pPr>
      <w:r>
        <w:rPr>
          <w:rFonts w:hint="eastAsia" w:ascii="仿宋_GB2312" w:eastAsia="仿宋_GB2312"/>
          <w:b/>
          <w:kern w:val="2"/>
          <w:sz w:val="32"/>
          <w:szCs w:val="32"/>
          <w:lang w:val="en-US" w:eastAsia="zh-CN" w:bidi="ar-SA"/>
        </w:rPr>
        <w:t>2．</w:t>
      </w:r>
      <w:r>
        <w:rPr>
          <w:rFonts w:hint="eastAsia" w:ascii="仿宋_GB2312" w:eastAsia="仿宋_GB2312"/>
          <w:b/>
          <w:sz w:val="32"/>
          <w:szCs w:val="32"/>
        </w:rPr>
        <w:t>项目概况</w:t>
      </w:r>
    </w:p>
    <w:p w14:paraId="782AA1F4">
      <w:pPr>
        <w:pageBreakBefore w:val="0"/>
        <w:kinsoku/>
        <w:wordWrap/>
        <w:overflowPunct/>
        <w:topLinePunct w:val="0"/>
        <w:autoSpaceDE/>
        <w:autoSpaceDN/>
        <w:bidi w:val="0"/>
        <w:adjustRightInd/>
        <w:snapToGrid/>
        <w:spacing w:line="360" w:lineRule="auto"/>
        <w:ind w:firstLine="643" w:firstLineChars="200"/>
        <w:textAlignment w:val="auto"/>
        <w:rPr>
          <w:rFonts w:hint="default" w:ascii="仿宋_GB2312" w:hAnsi="仿宋_GB2312" w:eastAsia="仿宋_GB2312" w:cs="仿宋_GB2312"/>
          <w:b/>
          <w:bCs/>
          <w:sz w:val="32"/>
          <w:szCs w:val="32"/>
          <w:highlight w:val="none"/>
          <w:lang w:val="en-US" w:eastAsia="zh-CN"/>
        </w:rPr>
      </w:pPr>
      <w:r>
        <w:rPr>
          <w:rFonts w:hint="default" w:ascii="仿宋_GB2312" w:hAnsi="仿宋_GB2312" w:eastAsia="仿宋_GB2312" w:cs="仿宋_GB2312"/>
          <w:b/>
          <w:bCs/>
          <w:sz w:val="32"/>
          <w:szCs w:val="32"/>
          <w:highlight w:val="none"/>
          <w:lang w:val="en-US" w:eastAsia="zh-CN"/>
        </w:rPr>
        <w:t>项目名称：</w:t>
      </w:r>
      <w:r>
        <w:rPr>
          <w:rFonts w:hint="eastAsia" w:ascii="仿宋_GB2312" w:hAnsi="仿宋_GB2312" w:eastAsia="仿宋_GB2312" w:cs="仿宋_GB2312"/>
          <w:b w:val="0"/>
          <w:bCs w:val="0"/>
          <w:sz w:val="32"/>
          <w:szCs w:val="32"/>
          <w:highlight w:val="none"/>
          <w:lang w:val="en-US" w:eastAsia="zh-CN"/>
        </w:rPr>
        <w:t>泸定县全民健身体育中心建设项目</w:t>
      </w:r>
    </w:p>
    <w:p w14:paraId="42C2BEE5">
      <w:pPr>
        <w:pageBreakBefore w:val="0"/>
        <w:kinsoku/>
        <w:wordWrap/>
        <w:overflowPunct/>
        <w:topLinePunct w:val="0"/>
        <w:autoSpaceDE/>
        <w:autoSpaceDN/>
        <w:bidi w:val="0"/>
        <w:adjustRightInd/>
        <w:snapToGrid/>
        <w:spacing w:line="360" w:lineRule="auto"/>
        <w:ind w:firstLine="643"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bCs/>
          <w:sz w:val="32"/>
          <w:szCs w:val="32"/>
          <w:highlight w:val="none"/>
          <w:lang w:val="en-US" w:eastAsia="zh-CN"/>
        </w:rPr>
        <w:t>项目所属领域：</w:t>
      </w:r>
      <w:r>
        <w:rPr>
          <w:rFonts w:hint="default" w:ascii="仿宋_GB2312" w:hAnsi="仿宋_GB2312" w:eastAsia="仿宋_GB2312" w:cs="仿宋_GB2312"/>
          <w:b w:val="0"/>
          <w:bCs w:val="0"/>
          <w:sz w:val="32"/>
          <w:szCs w:val="32"/>
          <w:highlight w:val="none"/>
          <w:lang w:val="en-US" w:eastAsia="zh-CN"/>
        </w:rPr>
        <w:t>社会事业-体育</w:t>
      </w:r>
    </w:p>
    <w:p w14:paraId="4EC8A6CD">
      <w:pPr>
        <w:pageBreakBefore w:val="0"/>
        <w:kinsoku/>
        <w:wordWrap/>
        <w:overflowPunct/>
        <w:topLinePunct w:val="0"/>
        <w:autoSpaceDE/>
        <w:autoSpaceDN/>
        <w:bidi w:val="0"/>
        <w:adjustRightInd/>
        <w:snapToGrid/>
        <w:spacing w:line="360" w:lineRule="auto"/>
        <w:ind w:firstLine="643"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bCs/>
          <w:sz w:val="32"/>
          <w:szCs w:val="32"/>
          <w:highlight w:val="none"/>
          <w:lang w:val="en-US" w:eastAsia="zh-CN"/>
        </w:rPr>
        <w:t>项目建设工期：</w:t>
      </w:r>
      <w:r>
        <w:rPr>
          <w:rFonts w:hint="eastAsia" w:ascii="仿宋_GB2312" w:hAnsi="仿宋_GB2312" w:eastAsia="仿宋_GB2312" w:cs="仿宋_GB2312"/>
          <w:b w:val="0"/>
          <w:bCs w:val="0"/>
          <w:sz w:val="32"/>
          <w:szCs w:val="32"/>
          <w:highlight w:val="none"/>
          <w:lang w:val="en-US" w:eastAsia="zh-CN"/>
        </w:rPr>
        <w:t>24</w:t>
      </w:r>
      <w:r>
        <w:rPr>
          <w:rFonts w:hint="default" w:ascii="仿宋_GB2312" w:hAnsi="仿宋_GB2312" w:eastAsia="仿宋_GB2312" w:cs="仿宋_GB2312"/>
          <w:b w:val="0"/>
          <w:bCs w:val="0"/>
          <w:sz w:val="32"/>
          <w:szCs w:val="32"/>
          <w:highlight w:val="none"/>
          <w:lang w:val="en-US" w:eastAsia="zh-CN"/>
        </w:rPr>
        <w:t>个月</w:t>
      </w:r>
    </w:p>
    <w:p w14:paraId="02ACB9E7">
      <w:pPr>
        <w:pageBreakBefore w:val="0"/>
        <w:kinsoku/>
        <w:wordWrap/>
        <w:overflowPunct/>
        <w:topLinePunct w:val="0"/>
        <w:autoSpaceDE/>
        <w:autoSpaceDN/>
        <w:bidi w:val="0"/>
        <w:adjustRightInd/>
        <w:snapToGrid/>
        <w:spacing w:line="360" w:lineRule="auto"/>
        <w:ind w:firstLine="643"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bCs/>
          <w:sz w:val="32"/>
          <w:szCs w:val="32"/>
          <w:highlight w:val="none"/>
          <w:lang w:val="en-US" w:eastAsia="zh-CN"/>
        </w:rPr>
        <w:t>项目区位：</w:t>
      </w:r>
      <w:r>
        <w:rPr>
          <w:rFonts w:hint="eastAsia" w:ascii="仿宋_GB2312" w:hAnsi="仿宋_GB2312" w:eastAsia="仿宋_GB2312" w:cs="仿宋_GB2312"/>
          <w:b w:val="0"/>
          <w:bCs w:val="0"/>
          <w:sz w:val="32"/>
          <w:szCs w:val="32"/>
          <w:highlight w:val="none"/>
          <w:lang w:val="en-US" w:eastAsia="zh-CN"/>
        </w:rPr>
        <w:t>泸定县下田坝村</w:t>
      </w:r>
    </w:p>
    <w:p w14:paraId="23EC9354">
      <w:pPr>
        <w:pageBreakBefore w:val="0"/>
        <w:kinsoku/>
        <w:wordWrap/>
        <w:overflowPunct/>
        <w:topLinePunct w:val="0"/>
        <w:autoSpaceDE/>
        <w:autoSpaceDN/>
        <w:bidi w:val="0"/>
        <w:adjustRightInd/>
        <w:snapToGrid/>
        <w:spacing w:line="360" w:lineRule="auto"/>
        <w:ind w:firstLine="643"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bCs/>
          <w:sz w:val="32"/>
          <w:szCs w:val="32"/>
          <w:highlight w:val="none"/>
          <w:lang w:val="en-US" w:eastAsia="zh-CN"/>
        </w:rPr>
        <w:t>项目说明：</w:t>
      </w:r>
      <w:r>
        <w:rPr>
          <w:rFonts w:hint="default" w:ascii="仿宋_GB2312" w:hAnsi="仿宋_GB2312" w:eastAsia="仿宋_GB2312" w:cs="仿宋_GB2312"/>
          <w:b w:val="0"/>
          <w:bCs w:val="0"/>
          <w:sz w:val="32"/>
          <w:szCs w:val="32"/>
          <w:highlight w:val="none"/>
          <w:lang w:val="en-US" w:eastAsia="zh-CN"/>
        </w:rPr>
        <w:t>本项目为新建工程，资产无抵押或质押情况。</w:t>
      </w:r>
    </w:p>
    <w:p w14:paraId="0E21A3C1">
      <w:pPr>
        <w:pageBreakBefore w:val="0"/>
        <w:kinsoku/>
        <w:wordWrap/>
        <w:overflowPunct/>
        <w:topLinePunct w:val="0"/>
        <w:autoSpaceDE/>
        <w:autoSpaceDN/>
        <w:bidi w:val="0"/>
        <w:adjustRightInd/>
        <w:snapToGrid/>
        <w:spacing w:line="360" w:lineRule="auto"/>
        <w:ind w:firstLine="643" w:firstLineChars="200"/>
        <w:textAlignment w:val="auto"/>
        <w:rPr>
          <w:rFonts w:hint="default" w:ascii="仿宋_GB2312" w:hAnsi="仿宋_GB2312" w:eastAsia="仿宋_GB2312" w:cs="仿宋_GB2312"/>
          <w:b/>
          <w:bCs/>
          <w:sz w:val="32"/>
          <w:szCs w:val="32"/>
          <w:highlight w:val="none"/>
          <w:lang w:val="en-US" w:eastAsia="zh-CN"/>
        </w:rPr>
      </w:pPr>
      <w:r>
        <w:rPr>
          <w:rFonts w:hint="default" w:ascii="仿宋_GB2312" w:hAnsi="仿宋_GB2312" w:eastAsia="仿宋_GB2312" w:cs="仿宋_GB2312"/>
          <w:b/>
          <w:bCs/>
          <w:sz w:val="32"/>
          <w:szCs w:val="32"/>
          <w:highlight w:val="none"/>
          <w:lang w:val="en-US" w:eastAsia="zh-CN"/>
        </w:rPr>
        <w:t>主要建设内容：</w:t>
      </w:r>
    </w:p>
    <w:p w14:paraId="2CBADEC6">
      <w:pPr>
        <w:pageBreakBefore w:val="0"/>
        <w:kinsoku/>
        <w:wordWrap/>
        <w:overflowPunct/>
        <w:topLinePunct w:val="0"/>
        <w:autoSpaceDE/>
        <w:autoSpaceDN/>
        <w:bidi w:val="0"/>
        <w:adjustRightInd/>
        <w:snapToGrid/>
        <w:spacing w:line="360" w:lineRule="auto"/>
        <w:ind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eastAsia" w:ascii="仿宋_GB2312" w:hAnsi="仿宋_GB2312" w:eastAsia="仿宋_GB2312" w:cs="仿宋_GB2312"/>
          <w:b w:val="0"/>
          <w:bCs w:val="0"/>
          <w:sz w:val="32"/>
          <w:szCs w:val="32"/>
          <w:highlight w:val="none"/>
          <w:lang w:val="en-US" w:eastAsia="zh-CN"/>
        </w:rPr>
        <w:t>新建全民健身体育中心1处，占地面积30.43亩，总建筑面积22951.11平方米，其中，地上建筑面积12458.48平方米（包含篮球、羽毛球、乒乓球、网球、游泳等运动项目），地下建筑面积10492.63平方米。包括主体建筑安装工程、总图工程及设施设备购置等。</w:t>
      </w:r>
    </w:p>
    <w:p w14:paraId="7C3F7ED7">
      <w:pPr>
        <w:numPr>
          <w:ilvl w:val="0"/>
          <w:numId w:val="3"/>
        </w:numPr>
        <w:spacing w:line="560" w:lineRule="exact"/>
        <w:ind w:firstLine="640" w:firstLineChars="200"/>
        <w:rPr>
          <w:rFonts w:hint="eastAsia" w:ascii="黑体" w:hAnsi="黑体" w:eastAsia="黑体"/>
          <w:sz w:val="32"/>
          <w:szCs w:val="32"/>
        </w:rPr>
      </w:pPr>
      <w:r>
        <w:rPr>
          <w:rFonts w:hint="eastAsia" w:ascii="黑体" w:hAnsi="黑体" w:eastAsia="黑体"/>
          <w:sz w:val="32"/>
          <w:szCs w:val="32"/>
        </w:rPr>
        <w:t>经济社会效益分析</w:t>
      </w:r>
    </w:p>
    <w:p w14:paraId="0F542624">
      <w:pPr>
        <w:pageBreakBefore w:val="0"/>
        <w:kinsoku/>
        <w:wordWrap/>
        <w:overflowPunct/>
        <w:topLinePunct w:val="0"/>
        <w:autoSpaceDE/>
        <w:autoSpaceDN/>
        <w:bidi w:val="0"/>
        <w:adjustRightInd/>
        <w:snapToGrid/>
        <w:spacing w:line="360" w:lineRule="auto"/>
        <w:ind w:firstLine="640" w:firstLineChars="200"/>
        <w:textAlignment w:val="auto"/>
        <w:rPr>
          <w:rFonts w:hint="default" w:ascii="仿宋_GB2312" w:hAnsi="仿宋_GB2312" w:eastAsia="仿宋_GB2312" w:cs="仿宋_GB2312"/>
          <w:b w:val="0"/>
          <w:bCs w:val="0"/>
          <w:sz w:val="32"/>
          <w:szCs w:val="32"/>
          <w:highlight w:val="none"/>
          <w:lang w:val="en-US" w:eastAsia="zh-CN"/>
        </w:rPr>
      </w:pPr>
      <w:bookmarkStart w:id="7" w:name="_Toc8916"/>
      <w:bookmarkStart w:id="8" w:name="_Toc26501"/>
      <w:bookmarkStart w:id="9" w:name="_Toc6623"/>
      <w:bookmarkStart w:id="10" w:name="_Toc13953"/>
      <w:bookmarkStart w:id="11" w:name="_Toc24769"/>
      <w:bookmarkStart w:id="12" w:name="_Toc4293"/>
      <w:bookmarkStart w:id="13" w:name="_Toc21218"/>
      <w:bookmarkStart w:id="14" w:name="_Toc7721"/>
      <w:bookmarkStart w:id="15" w:name="_Toc31856"/>
      <w:r>
        <w:rPr>
          <w:rFonts w:hint="eastAsia" w:ascii="仿宋_GB2312" w:hAnsi="仿宋_GB2312" w:eastAsia="仿宋_GB2312" w:cs="仿宋_GB2312"/>
          <w:b w:val="0"/>
          <w:bCs w:val="0"/>
          <w:sz w:val="32"/>
          <w:szCs w:val="32"/>
          <w:highlight w:val="none"/>
          <w:lang w:val="en-US" w:eastAsia="zh-CN"/>
        </w:rPr>
        <w:t>（一）</w:t>
      </w:r>
      <w:r>
        <w:rPr>
          <w:rFonts w:hint="default" w:ascii="仿宋_GB2312" w:hAnsi="仿宋_GB2312" w:eastAsia="仿宋_GB2312" w:cs="仿宋_GB2312"/>
          <w:b w:val="0"/>
          <w:bCs w:val="0"/>
          <w:sz w:val="32"/>
          <w:szCs w:val="32"/>
          <w:highlight w:val="none"/>
          <w:lang w:val="en-US" w:eastAsia="zh-CN"/>
        </w:rPr>
        <w:t>经济效益</w:t>
      </w:r>
      <w:bookmarkEnd w:id="7"/>
      <w:bookmarkEnd w:id="8"/>
      <w:bookmarkEnd w:id="9"/>
      <w:bookmarkEnd w:id="10"/>
      <w:bookmarkEnd w:id="11"/>
      <w:bookmarkEnd w:id="12"/>
      <w:bookmarkEnd w:id="13"/>
      <w:bookmarkEnd w:id="14"/>
      <w:bookmarkEnd w:id="15"/>
    </w:p>
    <w:p w14:paraId="5F46B28A">
      <w:pPr>
        <w:pageBreakBefore w:val="0"/>
        <w:kinsoku/>
        <w:wordWrap/>
        <w:overflowPunct/>
        <w:topLinePunct w:val="0"/>
        <w:autoSpaceDE/>
        <w:autoSpaceDN/>
        <w:bidi w:val="0"/>
        <w:adjustRightInd/>
        <w:snapToGrid/>
        <w:spacing w:line="360" w:lineRule="auto"/>
        <w:ind w:firstLine="640" w:firstLineChars="200"/>
        <w:textAlignment w:val="auto"/>
        <w:rPr>
          <w:rFonts w:hint="default" w:ascii="仿宋_GB2312" w:hAnsi="仿宋_GB2312" w:eastAsia="仿宋_GB2312" w:cs="仿宋_GB2312"/>
          <w:b w:val="0"/>
          <w:bCs w:val="0"/>
          <w:sz w:val="32"/>
          <w:szCs w:val="32"/>
          <w:highlight w:val="none"/>
          <w:lang w:val="en-US" w:eastAsia="zh-CN"/>
        </w:rPr>
      </w:pPr>
      <w:bookmarkStart w:id="16" w:name="_Toc2045"/>
      <w:bookmarkStart w:id="17" w:name="_Toc3717"/>
      <w:bookmarkStart w:id="18" w:name="_Toc31288"/>
      <w:bookmarkStart w:id="19" w:name="_Toc30219"/>
      <w:bookmarkStart w:id="20" w:name="_Toc15224_WPSOffice_Level2"/>
      <w:r>
        <w:rPr>
          <w:rFonts w:hint="default" w:ascii="仿宋_GB2312" w:hAnsi="仿宋_GB2312" w:eastAsia="仿宋_GB2312" w:cs="仿宋_GB2312"/>
          <w:b w:val="0"/>
          <w:bCs w:val="0"/>
          <w:sz w:val="32"/>
          <w:szCs w:val="32"/>
          <w:highlight w:val="none"/>
          <w:lang w:val="en-US" w:eastAsia="zh-CN"/>
        </w:rPr>
        <w:t>经严格遵循合规性、谨慎性原则所进行的财务测算，本项目专项收入可偿债息前净现金流为34,288.77万元，政府专项债券到期本息为29400.00万元，本项目用于偿还政府专项债券的息前净现金流/政府专项债本息的收益覆盖倍数为1.17倍，能较好的实现收益与融资自求平衡，且具备较好的抗风险能力和一定安全边际。项目在经济上可行，财务上有利，建设运营的直接经济效益能够满足项目自求平衡的要求。</w:t>
      </w:r>
    </w:p>
    <w:p w14:paraId="132917D0">
      <w:pPr>
        <w:pageBreakBefore w:val="0"/>
        <w:kinsoku/>
        <w:wordWrap/>
        <w:overflowPunct/>
        <w:topLinePunct w:val="0"/>
        <w:autoSpaceDE/>
        <w:autoSpaceDN/>
        <w:bidi w:val="0"/>
        <w:adjustRightInd/>
        <w:snapToGrid/>
        <w:spacing w:line="360" w:lineRule="auto"/>
        <w:ind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该项目建成能带来几倍于投资额的社会总需求和国民收入。产业关联度大，带动作用强，可以带动设计、施工、运营、材料、装备、信息、餐饮、零售、住宿等相关行业的发展，为多家企业提供良好发展机遇，提供大量就业岗位。本项目建设对于打造增加公共产品和服务供给新引擎、拉动有效投资和消费、促进绿色发展具有重大意义，有力促进当地经济发展。</w:t>
      </w:r>
    </w:p>
    <w:p w14:paraId="4F1A9B9E">
      <w:pPr>
        <w:pageBreakBefore w:val="0"/>
        <w:kinsoku/>
        <w:wordWrap/>
        <w:overflowPunct/>
        <w:topLinePunct w:val="0"/>
        <w:autoSpaceDE/>
        <w:autoSpaceDN/>
        <w:bidi w:val="0"/>
        <w:adjustRightInd/>
        <w:snapToGrid/>
        <w:spacing w:line="360" w:lineRule="auto"/>
        <w:ind w:firstLine="640" w:firstLineChars="200"/>
        <w:textAlignment w:val="auto"/>
        <w:rPr>
          <w:rFonts w:hint="default" w:ascii="仿宋_GB2312" w:hAnsi="仿宋_GB2312" w:eastAsia="仿宋_GB2312" w:cs="仿宋_GB2312"/>
          <w:b w:val="0"/>
          <w:bCs w:val="0"/>
          <w:sz w:val="32"/>
          <w:szCs w:val="32"/>
          <w:highlight w:val="none"/>
          <w:lang w:val="en-US" w:eastAsia="zh-CN"/>
        </w:rPr>
      </w:pPr>
      <w:bookmarkStart w:id="21" w:name="_Toc1602"/>
      <w:bookmarkStart w:id="22" w:name="_Toc19098"/>
      <w:bookmarkStart w:id="23" w:name="_Toc26046"/>
      <w:bookmarkStart w:id="24" w:name="_Toc28700"/>
      <w:bookmarkStart w:id="25" w:name="_Toc10086"/>
      <w:bookmarkStart w:id="26" w:name="_Toc1684"/>
      <w:r>
        <w:rPr>
          <w:rFonts w:hint="eastAsia" w:ascii="仿宋_GB2312" w:hAnsi="仿宋_GB2312" w:eastAsia="仿宋_GB2312" w:cs="仿宋_GB2312"/>
          <w:b w:val="0"/>
          <w:bCs w:val="0"/>
          <w:sz w:val="32"/>
          <w:szCs w:val="32"/>
          <w:highlight w:val="none"/>
          <w:lang w:val="en-US" w:eastAsia="zh-CN"/>
        </w:rPr>
        <w:t>（二）</w:t>
      </w:r>
      <w:r>
        <w:rPr>
          <w:rFonts w:hint="default" w:ascii="仿宋_GB2312" w:hAnsi="仿宋_GB2312" w:eastAsia="仿宋_GB2312" w:cs="仿宋_GB2312"/>
          <w:b w:val="0"/>
          <w:bCs w:val="0"/>
          <w:sz w:val="32"/>
          <w:szCs w:val="32"/>
          <w:highlight w:val="none"/>
          <w:lang w:val="en-US" w:eastAsia="zh-CN"/>
        </w:rPr>
        <w:t>社会效益</w:t>
      </w:r>
      <w:bookmarkEnd w:id="16"/>
      <w:bookmarkEnd w:id="17"/>
      <w:bookmarkEnd w:id="18"/>
      <w:bookmarkEnd w:id="19"/>
      <w:bookmarkEnd w:id="20"/>
      <w:bookmarkEnd w:id="21"/>
      <w:bookmarkEnd w:id="22"/>
      <w:bookmarkEnd w:id="23"/>
      <w:bookmarkEnd w:id="24"/>
      <w:bookmarkEnd w:id="25"/>
      <w:bookmarkEnd w:id="26"/>
    </w:p>
    <w:p w14:paraId="556B74C4">
      <w:pPr>
        <w:pageBreakBefore w:val="0"/>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项目的建设有利于完善泸定县体育设施体系，促进区域体育事业发展，提高群众身体素质和健康水平。本项目拟在泸定县县域南部空置土地上新建一处健身中心，主要包括篮球场、乒乓球场、游泳池、健身中心、停车场、室外运动场等，本项目的建设，能够丰富泸定县体育设施，有助于增强泸定县具备承办体育文体活动等的能力，为泸定县体育事业发展打下良好基础，对甘孜州及四川省及国家体育事业发展具有一定推动作用。当前，泸定县在积极贯彻国家和地方体育强国、全民健身计划等政策文件要求，以提高群众身体素质为己任，向全社会开放，为群众提供体育健身场地，项目建成后，将进行全方位的开发利用，除组织举办相应常规性体育大型活动以外，亦面向市民开放全民健身活动和文艺活动，起到扩展群众休闲活动的范围与内涵、提升全民身体素质的作用。</w:t>
      </w:r>
    </w:p>
    <w:p w14:paraId="336533B5">
      <w:pPr>
        <w:spacing w:line="560" w:lineRule="exact"/>
        <w:ind w:firstLine="640" w:firstLineChars="200"/>
        <w:rPr>
          <w:rFonts w:ascii="黑体" w:hAnsi="黑体" w:eastAsia="黑体"/>
          <w:sz w:val="32"/>
          <w:szCs w:val="32"/>
        </w:rPr>
      </w:pPr>
      <w:r>
        <w:rPr>
          <w:rFonts w:hint="eastAsia" w:ascii="黑体" w:hAnsi="黑体" w:eastAsia="黑体"/>
          <w:sz w:val="32"/>
          <w:szCs w:val="32"/>
        </w:rPr>
        <w:t>三、项目投资估算及资金筹措方案</w:t>
      </w:r>
    </w:p>
    <w:p w14:paraId="5D80825A">
      <w:pPr>
        <w:spacing w:line="560" w:lineRule="exact"/>
        <w:ind w:firstLine="643" w:firstLineChars="200"/>
        <w:rPr>
          <w:rFonts w:hint="eastAsia" w:ascii="楷体_GB2312" w:eastAsia="楷体_GB2312"/>
          <w:b/>
          <w:sz w:val="32"/>
          <w:szCs w:val="32"/>
        </w:rPr>
      </w:pPr>
      <w:r>
        <w:rPr>
          <w:rFonts w:hint="eastAsia" w:ascii="楷体_GB2312" w:eastAsia="楷体_GB2312"/>
          <w:b/>
          <w:sz w:val="32"/>
          <w:szCs w:val="32"/>
        </w:rPr>
        <w:t>（一）</w:t>
      </w:r>
      <w:r>
        <w:rPr>
          <w:rFonts w:hint="eastAsia" w:ascii="楷体_GB2312" w:eastAsia="楷体_GB2312"/>
          <w:b/>
          <w:sz w:val="32"/>
          <w:szCs w:val="32"/>
        </w:rPr>
        <w:tab/>
      </w:r>
      <w:r>
        <w:rPr>
          <w:rFonts w:hint="eastAsia" w:ascii="楷体_GB2312" w:eastAsia="楷体_GB2312"/>
          <w:b/>
          <w:sz w:val="32"/>
          <w:szCs w:val="32"/>
        </w:rPr>
        <w:t>投资估算</w:t>
      </w:r>
    </w:p>
    <w:p w14:paraId="5A70E69E">
      <w:pPr>
        <w:pageBreakBefore w:val="0"/>
        <w:kinsoku/>
        <w:wordWrap/>
        <w:overflowPunct/>
        <w:topLinePunct w:val="0"/>
        <w:autoSpaceDE/>
        <w:autoSpaceDN/>
        <w:bidi w:val="0"/>
        <w:adjustRightInd/>
        <w:snapToGrid/>
        <w:spacing w:line="360" w:lineRule="auto"/>
        <w:ind w:firstLine="643" w:firstLineChars="200"/>
        <w:textAlignment w:val="auto"/>
        <w:rPr>
          <w:rFonts w:hint="eastAsia" w:ascii="仿宋_GB2312" w:hAnsi="仿宋_GB2312" w:eastAsia="仿宋_GB2312" w:cs="仿宋_GB2312"/>
          <w:b/>
          <w:bCs/>
          <w:sz w:val="32"/>
          <w:szCs w:val="32"/>
          <w:highlight w:val="none"/>
          <w:lang w:val="en-US" w:eastAsia="zh-CN"/>
        </w:rPr>
      </w:pPr>
      <w:bookmarkStart w:id="27" w:name="_Toc4105"/>
      <w:bookmarkStart w:id="28" w:name="_Toc18074"/>
      <w:bookmarkStart w:id="29" w:name="_Toc23175"/>
      <w:bookmarkStart w:id="30" w:name="_Toc10369"/>
      <w:r>
        <w:rPr>
          <w:rFonts w:hint="eastAsia" w:ascii="仿宋_GB2312" w:hAnsi="仿宋_GB2312" w:eastAsia="仿宋_GB2312" w:cs="仿宋_GB2312"/>
          <w:b/>
          <w:bCs/>
          <w:sz w:val="32"/>
          <w:szCs w:val="32"/>
          <w:highlight w:val="none"/>
          <w:lang w:val="en-US" w:eastAsia="zh-CN"/>
        </w:rPr>
        <w:t>1.编制依据及原则</w:t>
      </w:r>
      <w:bookmarkEnd w:id="27"/>
      <w:bookmarkEnd w:id="28"/>
      <w:bookmarkEnd w:id="29"/>
      <w:bookmarkEnd w:id="30"/>
    </w:p>
    <w:p w14:paraId="0622A35E">
      <w:pPr>
        <w:pageBreakBefore w:val="0"/>
        <w:kinsoku/>
        <w:wordWrap/>
        <w:overflowPunct/>
        <w:topLinePunct w:val="0"/>
        <w:autoSpaceDE/>
        <w:autoSpaceDN/>
        <w:bidi w:val="0"/>
        <w:adjustRightInd/>
        <w:snapToGrid/>
        <w:spacing w:line="360" w:lineRule="auto"/>
        <w:ind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eastAsia" w:ascii="仿宋_GB2312" w:hAnsi="仿宋_GB2312" w:eastAsia="仿宋_GB2312" w:cs="仿宋_GB2312"/>
          <w:b w:val="0"/>
          <w:bCs w:val="0"/>
          <w:sz w:val="32"/>
          <w:szCs w:val="32"/>
          <w:highlight w:val="none"/>
          <w:lang w:val="en-US" w:eastAsia="zh-CN"/>
        </w:rPr>
        <w:t>（1）</w:t>
      </w:r>
      <w:r>
        <w:rPr>
          <w:rFonts w:hint="default" w:ascii="仿宋_GB2312" w:hAnsi="仿宋_GB2312" w:eastAsia="仿宋_GB2312" w:cs="仿宋_GB2312"/>
          <w:b w:val="0"/>
          <w:bCs w:val="0"/>
          <w:sz w:val="32"/>
          <w:szCs w:val="32"/>
          <w:highlight w:val="none"/>
          <w:lang w:val="en-US" w:eastAsia="zh-CN"/>
        </w:rPr>
        <w:t>编制依据</w:t>
      </w:r>
    </w:p>
    <w:p w14:paraId="030341A3">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国家建设部主管部门发布的有关法律法规、章程等；</w:t>
      </w:r>
    </w:p>
    <w:p w14:paraId="1455EBD8">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《四川省建设工程工程量清单计价定额》2020版及配套文件；</w:t>
      </w:r>
    </w:p>
    <w:p w14:paraId="3543603E">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《建筑工程工程量清单计价规范》（GB50500-2013）及相关配套文件；</w:t>
      </w:r>
    </w:p>
    <w:p w14:paraId="669710BF">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《建设项目投资估算编审规程》（CECA/GC1-2015）、《建设工程造价咨询规范》（GB/T51095-2015）相关配套文件；</w:t>
      </w:r>
    </w:p>
    <w:p w14:paraId="20586332">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《建设项目全过程造价咨询规程》（CECA/GC4-2017）；</w:t>
      </w:r>
    </w:p>
    <w:p w14:paraId="664A7D23">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《通用安装工程工程量计算规范》（GB50856-2013）；</w:t>
      </w:r>
    </w:p>
    <w:p w14:paraId="2F973521">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《房屋建筑与装饰工程工程量计算规范》（GB50854-2013）；</w:t>
      </w:r>
    </w:p>
    <w:p w14:paraId="5BB915EF">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《建筑工程建筑面积计算规则》（GB/T50353-2013）；</w:t>
      </w:r>
    </w:p>
    <w:p w14:paraId="493C6A7A">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《构筑物工程工程量计算规范》（GB50860-2013）；</w:t>
      </w:r>
    </w:p>
    <w:p w14:paraId="63331A46">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《四川省建设工程造价咨询标准》（DBJ51/T090-2018）；</w:t>
      </w:r>
    </w:p>
    <w:p w14:paraId="14F692BF">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材料价格按市场价执行，依据“四川省工程造价信息”2024年第10期甘孜地区最新信息价及当地市场价格计取。</w:t>
      </w:r>
    </w:p>
    <w:p w14:paraId="1784DE74">
      <w:pPr>
        <w:pageBreakBefore w:val="0"/>
        <w:kinsoku/>
        <w:wordWrap/>
        <w:overflowPunct/>
        <w:topLinePunct w:val="0"/>
        <w:autoSpaceDE/>
        <w:autoSpaceDN/>
        <w:bidi w:val="0"/>
        <w:adjustRightInd/>
        <w:snapToGrid/>
        <w:spacing w:line="360" w:lineRule="auto"/>
        <w:ind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eastAsia" w:ascii="仿宋_GB2312" w:hAnsi="仿宋_GB2312" w:eastAsia="仿宋_GB2312" w:cs="仿宋_GB2312"/>
          <w:b w:val="0"/>
          <w:bCs w:val="0"/>
          <w:sz w:val="32"/>
          <w:szCs w:val="32"/>
          <w:highlight w:val="none"/>
          <w:lang w:val="en-US" w:eastAsia="zh-CN"/>
        </w:rPr>
        <w:t>（2）</w:t>
      </w:r>
      <w:r>
        <w:rPr>
          <w:rFonts w:hint="default" w:ascii="仿宋_GB2312" w:hAnsi="仿宋_GB2312" w:eastAsia="仿宋_GB2312" w:cs="仿宋_GB2312"/>
          <w:b w:val="0"/>
          <w:bCs w:val="0"/>
          <w:sz w:val="32"/>
          <w:szCs w:val="32"/>
          <w:highlight w:val="none"/>
          <w:lang w:val="en-US" w:eastAsia="zh-CN"/>
        </w:rPr>
        <w:t>编制原则</w:t>
      </w:r>
    </w:p>
    <w:p w14:paraId="0D357ECC">
      <w:pPr>
        <w:pageBreakBefore w:val="0"/>
        <w:kinsoku/>
        <w:wordWrap/>
        <w:overflowPunct/>
        <w:topLinePunct w:val="0"/>
        <w:autoSpaceDE/>
        <w:autoSpaceDN/>
        <w:bidi w:val="0"/>
        <w:adjustRightInd/>
        <w:snapToGrid/>
        <w:spacing w:line="360" w:lineRule="auto"/>
        <w:ind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项目建设必须遵循国家的各项政策、法规和法令，符合区域经济社会发展及行业和地区的规划。以科学发展、实事求是的态度，公正、客观的反映本项目建设的实际情况，项目投资坚持“客观公正、实事求是”的原则。</w:t>
      </w:r>
    </w:p>
    <w:p w14:paraId="2B641ED4">
      <w:pPr>
        <w:pageBreakBefore w:val="0"/>
        <w:kinsoku/>
        <w:wordWrap/>
        <w:overflowPunct/>
        <w:topLinePunct w:val="0"/>
        <w:autoSpaceDE/>
        <w:autoSpaceDN/>
        <w:bidi w:val="0"/>
        <w:adjustRightInd/>
        <w:snapToGrid/>
        <w:spacing w:line="360" w:lineRule="auto"/>
        <w:ind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通过对区域经济社会发展分析研究以及对项目规划的研究，推荐建设项目投资总规模、整体方案，论证结果的合理性。</w:t>
      </w:r>
    </w:p>
    <w:p w14:paraId="4F8611DD">
      <w:pPr>
        <w:pageBreakBefore w:val="0"/>
        <w:kinsoku/>
        <w:wordWrap/>
        <w:overflowPunct/>
        <w:topLinePunct w:val="0"/>
        <w:autoSpaceDE/>
        <w:autoSpaceDN/>
        <w:bidi w:val="0"/>
        <w:adjustRightInd/>
        <w:snapToGrid/>
        <w:spacing w:line="360" w:lineRule="auto"/>
        <w:ind w:firstLine="643" w:firstLineChars="200"/>
        <w:textAlignment w:val="auto"/>
        <w:rPr>
          <w:rFonts w:hint="default" w:ascii="仿宋_GB2312" w:hAnsi="仿宋_GB2312" w:eastAsia="仿宋_GB2312" w:cs="仿宋_GB2312"/>
          <w:b/>
          <w:bCs/>
          <w:sz w:val="32"/>
          <w:szCs w:val="32"/>
          <w:highlight w:val="none"/>
          <w:lang w:val="en-US" w:eastAsia="zh-CN"/>
        </w:rPr>
      </w:pPr>
      <w:bookmarkStart w:id="31" w:name="_Toc11244"/>
      <w:bookmarkStart w:id="32" w:name="_Toc27529"/>
      <w:bookmarkStart w:id="33" w:name="_Toc7847"/>
      <w:bookmarkStart w:id="34" w:name="_Toc3442"/>
      <w:bookmarkStart w:id="35" w:name="_Toc28337"/>
      <w:bookmarkStart w:id="36" w:name="_Toc15804"/>
      <w:bookmarkStart w:id="37" w:name="_Toc4612"/>
      <w:bookmarkStart w:id="38" w:name="_Toc8979"/>
      <w:bookmarkStart w:id="39" w:name="_Toc12979"/>
      <w:bookmarkStart w:id="40" w:name="_Toc29989"/>
      <w:bookmarkStart w:id="41" w:name="_Toc32623"/>
      <w:r>
        <w:rPr>
          <w:rFonts w:hint="eastAsia" w:ascii="仿宋_GB2312" w:hAnsi="仿宋_GB2312" w:eastAsia="仿宋_GB2312" w:cs="仿宋_GB2312"/>
          <w:b/>
          <w:bCs/>
          <w:sz w:val="32"/>
          <w:szCs w:val="32"/>
          <w:highlight w:val="none"/>
          <w:lang w:val="en-US" w:eastAsia="zh-CN"/>
        </w:rPr>
        <w:t>2.</w:t>
      </w:r>
      <w:r>
        <w:rPr>
          <w:rFonts w:hint="default" w:ascii="仿宋_GB2312" w:hAnsi="仿宋_GB2312" w:eastAsia="仿宋_GB2312" w:cs="仿宋_GB2312"/>
          <w:b/>
          <w:bCs/>
          <w:sz w:val="32"/>
          <w:szCs w:val="32"/>
          <w:highlight w:val="none"/>
          <w:lang w:val="en-US" w:eastAsia="zh-CN"/>
        </w:rPr>
        <w:t>项目总投资</w:t>
      </w:r>
      <w:bookmarkEnd w:id="31"/>
      <w:bookmarkEnd w:id="32"/>
      <w:bookmarkEnd w:id="33"/>
      <w:bookmarkEnd w:id="34"/>
      <w:bookmarkEnd w:id="35"/>
      <w:bookmarkEnd w:id="36"/>
      <w:bookmarkEnd w:id="37"/>
      <w:bookmarkEnd w:id="38"/>
      <w:bookmarkEnd w:id="39"/>
      <w:bookmarkEnd w:id="40"/>
      <w:bookmarkEnd w:id="41"/>
    </w:p>
    <w:p w14:paraId="3394F939">
      <w:pPr>
        <w:pageBreakBefore w:val="0"/>
        <w:kinsoku/>
        <w:wordWrap/>
        <w:overflowPunct/>
        <w:topLinePunct w:val="0"/>
        <w:autoSpaceDE/>
        <w:autoSpaceDN/>
        <w:bidi w:val="0"/>
        <w:adjustRightInd/>
        <w:snapToGrid/>
        <w:spacing w:line="360" w:lineRule="auto"/>
        <w:ind w:firstLine="640" w:firstLineChars="200"/>
        <w:textAlignment w:val="auto"/>
        <w:rPr>
          <w:rFonts w:hint="default" w:ascii="仿宋_GB2312" w:hAnsi="仿宋_GB2312" w:eastAsia="仿宋_GB2312" w:cs="仿宋_GB2312"/>
          <w:b w:val="0"/>
          <w:bCs w:val="0"/>
          <w:sz w:val="32"/>
          <w:szCs w:val="32"/>
          <w:highlight w:val="none"/>
          <w:lang w:val="en-US" w:eastAsia="zh-CN"/>
        </w:rPr>
      </w:pPr>
      <w:bookmarkStart w:id="42" w:name="_Hlk84430951"/>
      <w:r>
        <w:rPr>
          <w:rFonts w:hint="default" w:ascii="仿宋_GB2312" w:hAnsi="仿宋_GB2312" w:eastAsia="仿宋_GB2312" w:cs="仿宋_GB2312"/>
          <w:b w:val="0"/>
          <w:bCs w:val="0"/>
          <w:sz w:val="32"/>
          <w:szCs w:val="32"/>
          <w:highlight w:val="none"/>
          <w:lang w:val="en-US" w:eastAsia="zh-CN"/>
        </w:rPr>
        <w:t>本项目建设动态投资总额为19552.60万元，其中：建安工程费16193.84万元，占总投资的82.82%，工程建设其他费用1742.92万元，占总投资的8.91%，预备费640.84万元，占总投资的3.28%。建设期利息960.00万元，占总投资的4.91%，债券发行费用15.00万元，占总投资的0.08%</w:t>
      </w:r>
      <w:bookmarkEnd w:id="42"/>
      <w:r>
        <w:rPr>
          <w:rFonts w:hint="default" w:ascii="仿宋_GB2312" w:hAnsi="仿宋_GB2312" w:eastAsia="仿宋_GB2312" w:cs="仿宋_GB2312"/>
          <w:b w:val="0"/>
          <w:bCs w:val="0"/>
          <w:sz w:val="32"/>
          <w:szCs w:val="32"/>
          <w:highlight w:val="none"/>
          <w:lang w:val="en-US" w:eastAsia="zh-CN"/>
        </w:rPr>
        <w:t>。</w:t>
      </w:r>
    </w:p>
    <w:p w14:paraId="3AAED52B">
      <w:pPr>
        <w:pageBreakBefore w:val="0"/>
        <w:kinsoku/>
        <w:wordWrap/>
        <w:overflowPunct/>
        <w:topLinePunct w:val="0"/>
        <w:autoSpaceDE/>
        <w:autoSpaceDN/>
        <w:bidi w:val="0"/>
        <w:adjustRightInd/>
        <w:snapToGrid/>
        <w:spacing w:line="360" w:lineRule="auto"/>
        <w:ind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详见下表3-1投资汇总表、3-2投资估算明细表：</w:t>
      </w:r>
    </w:p>
    <w:p w14:paraId="4662E66D">
      <w:pPr>
        <w:bidi w:val="0"/>
        <w:jc w:val="center"/>
        <w:rPr>
          <w:rFonts w:hint="default" w:ascii="Times New Roman" w:hAnsi="Times New Roman" w:cs="Times New Roman"/>
          <w:b/>
          <w:bCs/>
          <w:highlight w:val="none"/>
        </w:rPr>
      </w:pPr>
      <w:r>
        <w:rPr>
          <w:rFonts w:hint="default" w:ascii="Times New Roman" w:hAnsi="Times New Roman" w:cs="Times New Roman"/>
          <w:b/>
          <w:bCs/>
          <w:highlight w:val="none"/>
        </w:rPr>
        <w:t>3-1投资汇总表</w:t>
      </w:r>
    </w:p>
    <w:p w14:paraId="70A20999">
      <w:pPr>
        <w:spacing w:before="0" w:after="0" w:line="0" w:lineRule="atLeast"/>
        <w:ind w:firstLine="0" w:firstLineChars="0"/>
        <w:jc w:val="right"/>
        <w:rPr>
          <w:rFonts w:hint="default" w:ascii="Times New Roman" w:hAnsi="Times New Roman" w:cs="Times New Roman"/>
          <w:highlight w:val="none"/>
        </w:rPr>
      </w:pPr>
      <w:r>
        <w:rPr>
          <w:rFonts w:hint="default" w:ascii="Times New Roman" w:hAnsi="Times New Roman" w:cs="Times New Roman"/>
          <w:b/>
          <w:bCs/>
          <w:sz w:val="24"/>
          <w:highlight w:val="none"/>
        </w:rPr>
        <w:t>单位：万元</w:t>
      </w:r>
    </w:p>
    <w:tbl>
      <w:tblPr>
        <w:tblStyle w:val="14"/>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75"/>
        <w:gridCol w:w="2860"/>
        <w:gridCol w:w="1514"/>
        <w:gridCol w:w="2870"/>
      </w:tblGrid>
      <w:tr w14:paraId="097BE3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748"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D58DD3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1"/>
                <w:szCs w:val="21"/>
                <w:u w:val="none"/>
              </w:rPr>
            </w:pPr>
            <w:r>
              <w:rPr>
                <w:rFonts w:hint="default" w:ascii="Times New Roman" w:hAnsi="Times New Roman" w:eastAsia="仿宋" w:cs="Times New Roman"/>
                <w:b/>
                <w:bCs/>
                <w:i w:val="0"/>
                <w:iCs w:val="0"/>
                <w:color w:val="000000"/>
                <w:kern w:val="0"/>
                <w:sz w:val="21"/>
                <w:szCs w:val="21"/>
                <w:u w:val="none"/>
                <w:lang w:val="en-US" w:eastAsia="zh-CN" w:bidi="ar"/>
              </w:rPr>
              <w:t>序号</w:t>
            </w:r>
          </w:p>
        </w:tc>
        <w:tc>
          <w:tcPr>
            <w:tcW w:w="1678" w:type="pct"/>
            <w:tcBorders>
              <w:top w:val="single" w:color="000000" w:sz="8" w:space="0"/>
              <w:left w:val="nil"/>
              <w:bottom w:val="single" w:color="000000" w:sz="8" w:space="0"/>
              <w:right w:val="single" w:color="000000" w:sz="8" w:space="0"/>
            </w:tcBorders>
            <w:shd w:val="clear" w:color="auto" w:fill="auto"/>
            <w:vAlign w:val="center"/>
          </w:tcPr>
          <w:p w14:paraId="22A2C43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1"/>
                <w:szCs w:val="21"/>
                <w:u w:val="none"/>
              </w:rPr>
            </w:pPr>
            <w:r>
              <w:rPr>
                <w:rFonts w:hint="default" w:ascii="Times New Roman" w:hAnsi="Times New Roman" w:eastAsia="仿宋" w:cs="Times New Roman"/>
                <w:b/>
                <w:bCs/>
                <w:i w:val="0"/>
                <w:iCs w:val="0"/>
                <w:color w:val="000000"/>
                <w:kern w:val="0"/>
                <w:sz w:val="21"/>
                <w:szCs w:val="21"/>
                <w:u w:val="none"/>
                <w:lang w:val="en-US" w:eastAsia="zh-CN" w:bidi="ar"/>
              </w:rPr>
              <w:t>投资构成</w:t>
            </w:r>
          </w:p>
        </w:tc>
        <w:tc>
          <w:tcPr>
            <w:tcW w:w="888" w:type="pct"/>
            <w:tcBorders>
              <w:top w:val="single" w:color="000000" w:sz="8" w:space="0"/>
              <w:left w:val="nil"/>
              <w:bottom w:val="single" w:color="000000" w:sz="8" w:space="0"/>
              <w:right w:val="single" w:color="000000" w:sz="8" w:space="0"/>
            </w:tcBorders>
            <w:shd w:val="clear" w:color="auto" w:fill="auto"/>
            <w:noWrap/>
            <w:vAlign w:val="center"/>
          </w:tcPr>
          <w:p w14:paraId="3E6E194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1"/>
                <w:szCs w:val="21"/>
                <w:u w:val="none"/>
              </w:rPr>
            </w:pPr>
            <w:r>
              <w:rPr>
                <w:rFonts w:hint="default" w:ascii="Times New Roman" w:hAnsi="Times New Roman" w:eastAsia="仿宋" w:cs="Times New Roman"/>
                <w:b/>
                <w:bCs/>
                <w:i w:val="0"/>
                <w:iCs w:val="0"/>
                <w:color w:val="000000"/>
                <w:kern w:val="0"/>
                <w:sz w:val="21"/>
                <w:szCs w:val="21"/>
                <w:u w:val="none"/>
                <w:lang w:val="en-US" w:eastAsia="zh-CN" w:bidi="ar"/>
              </w:rPr>
              <w:t>金额</w:t>
            </w:r>
          </w:p>
        </w:tc>
        <w:tc>
          <w:tcPr>
            <w:tcW w:w="1684" w:type="pct"/>
            <w:tcBorders>
              <w:top w:val="single" w:color="000000" w:sz="8" w:space="0"/>
              <w:left w:val="nil"/>
              <w:bottom w:val="single" w:color="000000" w:sz="8" w:space="0"/>
              <w:right w:val="single" w:color="000000" w:sz="8" w:space="0"/>
            </w:tcBorders>
            <w:shd w:val="clear" w:color="auto" w:fill="auto"/>
            <w:noWrap/>
            <w:vAlign w:val="center"/>
          </w:tcPr>
          <w:p w14:paraId="1DAFC0A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1"/>
                <w:szCs w:val="21"/>
                <w:u w:val="none"/>
              </w:rPr>
            </w:pPr>
            <w:r>
              <w:rPr>
                <w:rFonts w:hint="default" w:ascii="Times New Roman" w:hAnsi="Times New Roman" w:eastAsia="仿宋" w:cs="Times New Roman"/>
                <w:b/>
                <w:bCs/>
                <w:i w:val="0"/>
                <w:iCs w:val="0"/>
                <w:color w:val="000000"/>
                <w:kern w:val="0"/>
                <w:sz w:val="21"/>
                <w:szCs w:val="21"/>
                <w:u w:val="none"/>
                <w:lang w:val="en-US" w:eastAsia="zh-CN" w:bidi="ar"/>
              </w:rPr>
              <w:t>占动态总投资比例</w:t>
            </w:r>
          </w:p>
        </w:tc>
      </w:tr>
      <w:tr w14:paraId="3F31CE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48" w:type="pct"/>
            <w:tcBorders>
              <w:top w:val="nil"/>
              <w:left w:val="single" w:color="000000" w:sz="8" w:space="0"/>
              <w:bottom w:val="single" w:color="000000" w:sz="8" w:space="0"/>
              <w:right w:val="single" w:color="000000" w:sz="8" w:space="0"/>
            </w:tcBorders>
            <w:shd w:val="clear" w:color="auto" w:fill="auto"/>
            <w:vAlign w:val="center"/>
          </w:tcPr>
          <w:p w14:paraId="0545251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1"/>
                <w:szCs w:val="21"/>
                <w:u w:val="none"/>
              </w:rPr>
            </w:pPr>
            <w:r>
              <w:rPr>
                <w:rFonts w:hint="default" w:ascii="Times New Roman" w:hAnsi="Times New Roman" w:eastAsia="仿宋" w:cs="Times New Roman"/>
                <w:b/>
                <w:bCs/>
                <w:i w:val="0"/>
                <w:iCs w:val="0"/>
                <w:color w:val="000000"/>
                <w:kern w:val="0"/>
                <w:sz w:val="21"/>
                <w:szCs w:val="21"/>
                <w:u w:val="none"/>
                <w:lang w:val="en-US" w:eastAsia="zh-CN" w:bidi="ar"/>
              </w:rPr>
              <w:t>一</w:t>
            </w:r>
          </w:p>
        </w:tc>
        <w:tc>
          <w:tcPr>
            <w:tcW w:w="1678" w:type="pct"/>
            <w:tcBorders>
              <w:top w:val="nil"/>
              <w:left w:val="nil"/>
              <w:bottom w:val="single" w:color="000000" w:sz="8" w:space="0"/>
              <w:right w:val="single" w:color="000000" w:sz="8" w:space="0"/>
            </w:tcBorders>
            <w:shd w:val="clear" w:color="auto" w:fill="auto"/>
            <w:noWrap/>
            <w:vAlign w:val="center"/>
          </w:tcPr>
          <w:p w14:paraId="4A18389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1"/>
                <w:szCs w:val="21"/>
                <w:u w:val="none"/>
              </w:rPr>
            </w:pPr>
            <w:r>
              <w:rPr>
                <w:rFonts w:hint="default" w:ascii="Times New Roman" w:hAnsi="Times New Roman" w:eastAsia="仿宋" w:cs="Times New Roman"/>
                <w:b/>
                <w:bCs/>
                <w:i w:val="0"/>
                <w:iCs w:val="0"/>
                <w:color w:val="000000"/>
                <w:kern w:val="0"/>
                <w:sz w:val="21"/>
                <w:szCs w:val="21"/>
                <w:u w:val="none"/>
                <w:lang w:val="en-US" w:eastAsia="zh-CN" w:bidi="ar"/>
              </w:rPr>
              <w:t>静态总投资</w:t>
            </w:r>
          </w:p>
        </w:tc>
        <w:tc>
          <w:tcPr>
            <w:tcW w:w="888" w:type="pct"/>
            <w:tcBorders>
              <w:top w:val="nil"/>
              <w:left w:val="nil"/>
              <w:bottom w:val="single" w:color="000000" w:sz="8" w:space="0"/>
              <w:right w:val="single" w:color="000000" w:sz="8" w:space="0"/>
            </w:tcBorders>
            <w:shd w:val="clear" w:color="auto" w:fill="auto"/>
            <w:noWrap/>
            <w:vAlign w:val="center"/>
          </w:tcPr>
          <w:p w14:paraId="7A1CCD9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1"/>
                <w:szCs w:val="21"/>
                <w:u w:val="none"/>
              </w:rPr>
            </w:pPr>
            <w:r>
              <w:rPr>
                <w:rFonts w:hint="default" w:ascii="Times New Roman" w:hAnsi="Times New Roman" w:eastAsia="等线" w:cs="Times New Roman"/>
                <w:b/>
                <w:bCs/>
                <w:i w:val="0"/>
                <w:iCs w:val="0"/>
                <w:color w:val="000000"/>
                <w:kern w:val="0"/>
                <w:sz w:val="21"/>
                <w:szCs w:val="21"/>
                <w:u w:val="none"/>
                <w:lang w:val="en-US" w:eastAsia="zh-CN" w:bidi="ar"/>
              </w:rPr>
              <w:t xml:space="preserve">18577.60 </w:t>
            </w:r>
          </w:p>
        </w:tc>
        <w:tc>
          <w:tcPr>
            <w:tcW w:w="1684" w:type="pct"/>
            <w:tcBorders>
              <w:top w:val="nil"/>
              <w:left w:val="nil"/>
              <w:bottom w:val="single" w:color="000000" w:sz="8" w:space="0"/>
              <w:right w:val="single" w:color="000000" w:sz="8" w:space="0"/>
            </w:tcBorders>
            <w:shd w:val="clear" w:color="auto" w:fill="auto"/>
            <w:noWrap/>
            <w:vAlign w:val="center"/>
          </w:tcPr>
          <w:p w14:paraId="17FEA97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1"/>
                <w:szCs w:val="21"/>
                <w:u w:val="none"/>
              </w:rPr>
            </w:pPr>
            <w:r>
              <w:rPr>
                <w:rFonts w:hint="default" w:ascii="Times New Roman" w:hAnsi="Times New Roman" w:eastAsia="等线" w:cs="Times New Roman"/>
                <w:b/>
                <w:bCs/>
                <w:i w:val="0"/>
                <w:iCs w:val="0"/>
                <w:color w:val="000000"/>
                <w:kern w:val="0"/>
                <w:sz w:val="21"/>
                <w:szCs w:val="21"/>
                <w:u w:val="none"/>
                <w:lang w:val="en-US" w:eastAsia="zh-CN" w:bidi="ar"/>
              </w:rPr>
              <w:t>95.01%</w:t>
            </w:r>
          </w:p>
        </w:tc>
      </w:tr>
      <w:tr w14:paraId="24633C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48" w:type="pct"/>
            <w:tcBorders>
              <w:top w:val="nil"/>
              <w:left w:val="single" w:color="000000" w:sz="8" w:space="0"/>
              <w:bottom w:val="single" w:color="000000" w:sz="8" w:space="0"/>
              <w:right w:val="single" w:color="000000" w:sz="8" w:space="0"/>
            </w:tcBorders>
            <w:shd w:val="clear" w:color="auto" w:fill="auto"/>
            <w:vAlign w:val="center"/>
          </w:tcPr>
          <w:p w14:paraId="3550AD0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1</w:t>
            </w:r>
          </w:p>
        </w:tc>
        <w:tc>
          <w:tcPr>
            <w:tcW w:w="1678" w:type="pct"/>
            <w:tcBorders>
              <w:top w:val="nil"/>
              <w:left w:val="nil"/>
              <w:bottom w:val="single" w:color="000000" w:sz="8" w:space="0"/>
              <w:right w:val="single" w:color="000000" w:sz="8" w:space="0"/>
            </w:tcBorders>
            <w:shd w:val="clear" w:color="auto" w:fill="auto"/>
            <w:vAlign w:val="center"/>
          </w:tcPr>
          <w:p w14:paraId="7D82EE9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工程建设投资</w:t>
            </w:r>
          </w:p>
        </w:tc>
        <w:tc>
          <w:tcPr>
            <w:tcW w:w="888" w:type="pct"/>
            <w:tcBorders>
              <w:top w:val="nil"/>
              <w:left w:val="nil"/>
              <w:bottom w:val="single" w:color="000000" w:sz="8" w:space="0"/>
              <w:right w:val="single" w:color="000000" w:sz="8" w:space="0"/>
            </w:tcBorders>
            <w:shd w:val="clear" w:color="auto" w:fill="auto"/>
            <w:noWrap/>
            <w:vAlign w:val="center"/>
          </w:tcPr>
          <w:p w14:paraId="388DEAB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 xml:space="preserve">16193.84 </w:t>
            </w:r>
          </w:p>
        </w:tc>
        <w:tc>
          <w:tcPr>
            <w:tcW w:w="1684" w:type="pct"/>
            <w:tcBorders>
              <w:top w:val="nil"/>
              <w:left w:val="nil"/>
              <w:bottom w:val="single" w:color="000000" w:sz="8" w:space="0"/>
              <w:right w:val="single" w:color="000000" w:sz="8" w:space="0"/>
            </w:tcBorders>
            <w:shd w:val="clear" w:color="auto" w:fill="auto"/>
            <w:noWrap/>
            <w:vAlign w:val="center"/>
          </w:tcPr>
          <w:p w14:paraId="357B3A6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1"/>
                <w:szCs w:val="21"/>
                <w:u w:val="none"/>
              </w:rPr>
            </w:pPr>
            <w:r>
              <w:rPr>
                <w:rFonts w:hint="default" w:ascii="Times New Roman" w:hAnsi="Times New Roman" w:eastAsia="等线" w:cs="Times New Roman"/>
                <w:b/>
                <w:bCs/>
                <w:i w:val="0"/>
                <w:iCs w:val="0"/>
                <w:color w:val="000000"/>
                <w:kern w:val="0"/>
                <w:sz w:val="21"/>
                <w:szCs w:val="21"/>
                <w:u w:val="none"/>
                <w:lang w:val="en-US" w:eastAsia="zh-CN" w:bidi="ar"/>
              </w:rPr>
              <w:t>82.82%</w:t>
            </w:r>
          </w:p>
        </w:tc>
      </w:tr>
      <w:tr w14:paraId="1A7E06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748" w:type="pct"/>
            <w:tcBorders>
              <w:top w:val="nil"/>
              <w:left w:val="single" w:color="000000" w:sz="8" w:space="0"/>
              <w:bottom w:val="single" w:color="000000" w:sz="8" w:space="0"/>
              <w:right w:val="single" w:color="000000" w:sz="8" w:space="0"/>
            </w:tcBorders>
            <w:shd w:val="clear" w:color="auto" w:fill="auto"/>
            <w:vAlign w:val="center"/>
          </w:tcPr>
          <w:p w14:paraId="7F4B3F5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2</w:t>
            </w:r>
          </w:p>
        </w:tc>
        <w:tc>
          <w:tcPr>
            <w:tcW w:w="1678" w:type="pct"/>
            <w:tcBorders>
              <w:top w:val="nil"/>
              <w:left w:val="nil"/>
              <w:bottom w:val="single" w:color="000000" w:sz="8" w:space="0"/>
              <w:right w:val="single" w:color="000000" w:sz="8" w:space="0"/>
            </w:tcBorders>
            <w:shd w:val="clear" w:color="auto" w:fill="auto"/>
            <w:vAlign w:val="center"/>
          </w:tcPr>
          <w:p w14:paraId="40EDB83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工程建设其他费用</w:t>
            </w:r>
          </w:p>
        </w:tc>
        <w:tc>
          <w:tcPr>
            <w:tcW w:w="888" w:type="pct"/>
            <w:tcBorders>
              <w:top w:val="nil"/>
              <w:left w:val="nil"/>
              <w:bottom w:val="single" w:color="000000" w:sz="8" w:space="0"/>
              <w:right w:val="single" w:color="000000" w:sz="8" w:space="0"/>
            </w:tcBorders>
            <w:shd w:val="clear" w:color="auto" w:fill="auto"/>
            <w:noWrap/>
            <w:vAlign w:val="center"/>
          </w:tcPr>
          <w:p w14:paraId="6E49EF7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 xml:space="preserve">1742.92 </w:t>
            </w:r>
          </w:p>
        </w:tc>
        <w:tc>
          <w:tcPr>
            <w:tcW w:w="1684" w:type="pct"/>
            <w:tcBorders>
              <w:top w:val="nil"/>
              <w:left w:val="nil"/>
              <w:bottom w:val="single" w:color="000000" w:sz="8" w:space="0"/>
              <w:right w:val="single" w:color="000000" w:sz="8" w:space="0"/>
            </w:tcBorders>
            <w:shd w:val="clear" w:color="auto" w:fill="auto"/>
            <w:noWrap/>
            <w:vAlign w:val="center"/>
          </w:tcPr>
          <w:p w14:paraId="2A3AC31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1"/>
                <w:szCs w:val="21"/>
                <w:u w:val="none"/>
              </w:rPr>
            </w:pPr>
            <w:r>
              <w:rPr>
                <w:rFonts w:hint="default" w:ascii="Times New Roman" w:hAnsi="Times New Roman" w:eastAsia="等线" w:cs="Times New Roman"/>
                <w:b/>
                <w:bCs/>
                <w:i w:val="0"/>
                <w:iCs w:val="0"/>
                <w:color w:val="000000"/>
                <w:kern w:val="0"/>
                <w:sz w:val="21"/>
                <w:szCs w:val="21"/>
                <w:u w:val="none"/>
                <w:lang w:val="en-US" w:eastAsia="zh-CN" w:bidi="ar"/>
              </w:rPr>
              <w:t>8.91%</w:t>
            </w:r>
          </w:p>
        </w:tc>
      </w:tr>
      <w:tr w14:paraId="32AC45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48" w:type="pct"/>
            <w:tcBorders>
              <w:top w:val="nil"/>
              <w:left w:val="single" w:color="000000" w:sz="8" w:space="0"/>
              <w:bottom w:val="single" w:color="000000" w:sz="8" w:space="0"/>
              <w:right w:val="single" w:color="000000" w:sz="8" w:space="0"/>
            </w:tcBorders>
            <w:shd w:val="clear" w:color="auto" w:fill="auto"/>
            <w:vAlign w:val="center"/>
          </w:tcPr>
          <w:p w14:paraId="57B15BD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3</w:t>
            </w:r>
          </w:p>
        </w:tc>
        <w:tc>
          <w:tcPr>
            <w:tcW w:w="1678" w:type="pct"/>
            <w:tcBorders>
              <w:top w:val="nil"/>
              <w:left w:val="nil"/>
              <w:bottom w:val="single" w:color="000000" w:sz="8" w:space="0"/>
              <w:right w:val="single" w:color="000000" w:sz="8" w:space="0"/>
            </w:tcBorders>
            <w:shd w:val="clear" w:color="auto" w:fill="auto"/>
            <w:vAlign w:val="center"/>
          </w:tcPr>
          <w:p w14:paraId="110A529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预备费用</w:t>
            </w:r>
          </w:p>
        </w:tc>
        <w:tc>
          <w:tcPr>
            <w:tcW w:w="888" w:type="pct"/>
            <w:tcBorders>
              <w:top w:val="nil"/>
              <w:left w:val="nil"/>
              <w:bottom w:val="single" w:color="000000" w:sz="8" w:space="0"/>
              <w:right w:val="single" w:color="000000" w:sz="8" w:space="0"/>
            </w:tcBorders>
            <w:shd w:val="clear" w:color="auto" w:fill="auto"/>
            <w:noWrap/>
            <w:vAlign w:val="center"/>
          </w:tcPr>
          <w:p w14:paraId="3265CB2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 xml:space="preserve">640.84 </w:t>
            </w:r>
          </w:p>
        </w:tc>
        <w:tc>
          <w:tcPr>
            <w:tcW w:w="1684" w:type="pct"/>
            <w:tcBorders>
              <w:top w:val="nil"/>
              <w:left w:val="nil"/>
              <w:bottom w:val="single" w:color="000000" w:sz="8" w:space="0"/>
              <w:right w:val="single" w:color="000000" w:sz="8" w:space="0"/>
            </w:tcBorders>
            <w:shd w:val="clear" w:color="auto" w:fill="auto"/>
            <w:noWrap/>
            <w:vAlign w:val="center"/>
          </w:tcPr>
          <w:p w14:paraId="7A676C1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1"/>
                <w:szCs w:val="21"/>
                <w:u w:val="none"/>
              </w:rPr>
            </w:pPr>
            <w:r>
              <w:rPr>
                <w:rFonts w:hint="default" w:ascii="Times New Roman" w:hAnsi="Times New Roman" w:eastAsia="等线" w:cs="Times New Roman"/>
                <w:b/>
                <w:bCs/>
                <w:i w:val="0"/>
                <w:iCs w:val="0"/>
                <w:color w:val="000000"/>
                <w:kern w:val="0"/>
                <w:sz w:val="21"/>
                <w:szCs w:val="21"/>
                <w:u w:val="none"/>
                <w:lang w:val="en-US" w:eastAsia="zh-CN" w:bidi="ar"/>
              </w:rPr>
              <w:t>3.28%</w:t>
            </w:r>
          </w:p>
        </w:tc>
      </w:tr>
      <w:tr w14:paraId="26113B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48" w:type="pct"/>
            <w:tcBorders>
              <w:top w:val="nil"/>
              <w:left w:val="single" w:color="000000" w:sz="8" w:space="0"/>
              <w:bottom w:val="single" w:color="000000" w:sz="8" w:space="0"/>
              <w:right w:val="single" w:color="000000" w:sz="8" w:space="0"/>
            </w:tcBorders>
            <w:shd w:val="clear" w:color="auto" w:fill="auto"/>
            <w:vAlign w:val="center"/>
          </w:tcPr>
          <w:p w14:paraId="2EC6A07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1"/>
                <w:szCs w:val="21"/>
                <w:u w:val="none"/>
              </w:rPr>
            </w:pPr>
            <w:r>
              <w:rPr>
                <w:rFonts w:hint="default" w:ascii="Times New Roman" w:hAnsi="Times New Roman" w:eastAsia="仿宋" w:cs="Times New Roman"/>
                <w:b/>
                <w:bCs/>
                <w:i w:val="0"/>
                <w:iCs w:val="0"/>
                <w:color w:val="000000"/>
                <w:kern w:val="0"/>
                <w:sz w:val="21"/>
                <w:szCs w:val="21"/>
                <w:u w:val="none"/>
                <w:lang w:val="en-US" w:eastAsia="zh-CN" w:bidi="ar"/>
              </w:rPr>
              <w:t>二</w:t>
            </w:r>
          </w:p>
        </w:tc>
        <w:tc>
          <w:tcPr>
            <w:tcW w:w="1678" w:type="pct"/>
            <w:tcBorders>
              <w:top w:val="nil"/>
              <w:left w:val="nil"/>
              <w:bottom w:val="single" w:color="000000" w:sz="8" w:space="0"/>
              <w:right w:val="single" w:color="000000" w:sz="8" w:space="0"/>
            </w:tcBorders>
            <w:shd w:val="clear" w:color="auto" w:fill="auto"/>
            <w:vAlign w:val="center"/>
          </w:tcPr>
          <w:p w14:paraId="7CB7ABE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1"/>
                <w:szCs w:val="21"/>
                <w:u w:val="none"/>
              </w:rPr>
            </w:pPr>
            <w:r>
              <w:rPr>
                <w:rFonts w:hint="default" w:ascii="Times New Roman" w:hAnsi="Times New Roman" w:eastAsia="仿宋" w:cs="Times New Roman"/>
                <w:b/>
                <w:bCs/>
                <w:i w:val="0"/>
                <w:iCs w:val="0"/>
                <w:color w:val="000000"/>
                <w:kern w:val="0"/>
                <w:sz w:val="21"/>
                <w:szCs w:val="21"/>
                <w:u w:val="none"/>
                <w:lang w:val="en-US" w:eastAsia="zh-CN" w:bidi="ar"/>
              </w:rPr>
              <w:t>专项费用</w:t>
            </w:r>
          </w:p>
        </w:tc>
        <w:tc>
          <w:tcPr>
            <w:tcW w:w="888" w:type="pct"/>
            <w:tcBorders>
              <w:top w:val="nil"/>
              <w:left w:val="nil"/>
              <w:bottom w:val="single" w:color="000000" w:sz="8" w:space="0"/>
              <w:right w:val="single" w:color="000000" w:sz="8" w:space="0"/>
            </w:tcBorders>
            <w:shd w:val="clear" w:color="auto" w:fill="auto"/>
            <w:noWrap/>
            <w:vAlign w:val="center"/>
          </w:tcPr>
          <w:p w14:paraId="7C4268B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1"/>
                <w:szCs w:val="21"/>
                <w:u w:val="none"/>
              </w:rPr>
            </w:pPr>
            <w:r>
              <w:rPr>
                <w:rFonts w:hint="default" w:ascii="Times New Roman" w:hAnsi="Times New Roman" w:eastAsia="等线" w:cs="Times New Roman"/>
                <w:b/>
                <w:bCs/>
                <w:i w:val="0"/>
                <w:iCs w:val="0"/>
                <w:color w:val="000000"/>
                <w:kern w:val="0"/>
                <w:sz w:val="21"/>
                <w:szCs w:val="21"/>
                <w:u w:val="none"/>
                <w:lang w:val="en-US" w:eastAsia="zh-CN" w:bidi="ar"/>
              </w:rPr>
              <w:t xml:space="preserve">975.00 </w:t>
            </w:r>
          </w:p>
        </w:tc>
        <w:tc>
          <w:tcPr>
            <w:tcW w:w="1684" w:type="pct"/>
            <w:tcBorders>
              <w:top w:val="nil"/>
              <w:left w:val="nil"/>
              <w:bottom w:val="single" w:color="000000" w:sz="8" w:space="0"/>
              <w:right w:val="single" w:color="000000" w:sz="8" w:space="0"/>
            </w:tcBorders>
            <w:shd w:val="clear" w:color="auto" w:fill="auto"/>
            <w:noWrap/>
            <w:vAlign w:val="center"/>
          </w:tcPr>
          <w:p w14:paraId="0AF6FE3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1"/>
                <w:szCs w:val="21"/>
                <w:u w:val="none"/>
              </w:rPr>
            </w:pPr>
            <w:r>
              <w:rPr>
                <w:rFonts w:hint="default" w:ascii="Times New Roman" w:hAnsi="Times New Roman" w:eastAsia="等线" w:cs="Times New Roman"/>
                <w:b/>
                <w:bCs/>
                <w:i w:val="0"/>
                <w:iCs w:val="0"/>
                <w:color w:val="000000"/>
                <w:kern w:val="0"/>
                <w:sz w:val="21"/>
                <w:szCs w:val="21"/>
                <w:u w:val="none"/>
                <w:lang w:val="en-US" w:eastAsia="zh-CN" w:bidi="ar"/>
              </w:rPr>
              <w:t>4.99%</w:t>
            </w:r>
          </w:p>
        </w:tc>
      </w:tr>
      <w:tr w14:paraId="28395A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748" w:type="pct"/>
            <w:tcBorders>
              <w:top w:val="nil"/>
              <w:left w:val="single" w:color="000000" w:sz="8" w:space="0"/>
              <w:bottom w:val="single" w:color="000000" w:sz="8" w:space="0"/>
              <w:right w:val="single" w:color="000000" w:sz="8" w:space="0"/>
            </w:tcBorders>
            <w:shd w:val="clear" w:color="auto" w:fill="auto"/>
            <w:vAlign w:val="center"/>
          </w:tcPr>
          <w:p w14:paraId="0D861CF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1</w:t>
            </w:r>
          </w:p>
        </w:tc>
        <w:tc>
          <w:tcPr>
            <w:tcW w:w="1678" w:type="pct"/>
            <w:tcBorders>
              <w:top w:val="nil"/>
              <w:left w:val="nil"/>
              <w:bottom w:val="single" w:color="000000" w:sz="8" w:space="0"/>
              <w:right w:val="single" w:color="000000" w:sz="8" w:space="0"/>
            </w:tcBorders>
            <w:shd w:val="clear" w:color="auto" w:fill="auto"/>
            <w:vAlign w:val="center"/>
          </w:tcPr>
          <w:p w14:paraId="47062FF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建设期利息</w:t>
            </w:r>
          </w:p>
        </w:tc>
        <w:tc>
          <w:tcPr>
            <w:tcW w:w="888" w:type="pct"/>
            <w:tcBorders>
              <w:top w:val="nil"/>
              <w:left w:val="nil"/>
              <w:bottom w:val="single" w:color="000000" w:sz="8" w:space="0"/>
              <w:right w:val="single" w:color="000000" w:sz="8" w:space="0"/>
            </w:tcBorders>
            <w:shd w:val="clear" w:color="auto" w:fill="auto"/>
            <w:noWrap/>
            <w:vAlign w:val="center"/>
          </w:tcPr>
          <w:p w14:paraId="26A1E42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 xml:space="preserve">960.00 </w:t>
            </w:r>
          </w:p>
        </w:tc>
        <w:tc>
          <w:tcPr>
            <w:tcW w:w="1684" w:type="pct"/>
            <w:tcBorders>
              <w:top w:val="nil"/>
              <w:left w:val="nil"/>
              <w:bottom w:val="single" w:color="000000" w:sz="8" w:space="0"/>
              <w:right w:val="single" w:color="000000" w:sz="8" w:space="0"/>
            </w:tcBorders>
            <w:shd w:val="clear" w:color="auto" w:fill="auto"/>
            <w:noWrap/>
            <w:vAlign w:val="center"/>
          </w:tcPr>
          <w:p w14:paraId="4F6BBBA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1"/>
                <w:szCs w:val="21"/>
                <w:u w:val="none"/>
              </w:rPr>
            </w:pPr>
            <w:r>
              <w:rPr>
                <w:rFonts w:hint="default" w:ascii="Times New Roman" w:hAnsi="Times New Roman" w:eastAsia="等线" w:cs="Times New Roman"/>
                <w:b/>
                <w:bCs/>
                <w:i w:val="0"/>
                <w:iCs w:val="0"/>
                <w:color w:val="000000"/>
                <w:kern w:val="0"/>
                <w:sz w:val="21"/>
                <w:szCs w:val="21"/>
                <w:u w:val="none"/>
                <w:lang w:val="en-US" w:eastAsia="zh-CN" w:bidi="ar"/>
              </w:rPr>
              <w:t>4.91%</w:t>
            </w:r>
          </w:p>
        </w:tc>
      </w:tr>
      <w:tr w14:paraId="339307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48" w:type="pct"/>
            <w:tcBorders>
              <w:top w:val="nil"/>
              <w:left w:val="single" w:color="000000" w:sz="8" w:space="0"/>
              <w:bottom w:val="single" w:color="000000" w:sz="8" w:space="0"/>
              <w:right w:val="single" w:color="000000" w:sz="8" w:space="0"/>
            </w:tcBorders>
            <w:shd w:val="clear" w:color="auto" w:fill="auto"/>
            <w:vAlign w:val="center"/>
          </w:tcPr>
          <w:p w14:paraId="0FE5371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2</w:t>
            </w:r>
          </w:p>
        </w:tc>
        <w:tc>
          <w:tcPr>
            <w:tcW w:w="1678" w:type="pct"/>
            <w:tcBorders>
              <w:top w:val="nil"/>
              <w:left w:val="nil"/>
              <w:bottom w:val="single" w:color="000000" w:sz="8" w:space="0"/>
              <w:right w:val="single" w:color="000000" w:sz="8" w:space="0"/>
            </w:tcBorders>
            <w:shd w:val="clear" w:color="auto" w:fill="auto"/>
            <w:vAlign w:val="center"/>
          </w:tcPr>
          <w:p w14:paraId="6E272EA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债券发行费用</w:t>
            </w:r>
          </w:p>
        </w:tc>
        <w:tc>
          <w:tcPr>
            <w:tcW w:w="888" w:type="pct"/>
            <w:tcBorders>
              <w:top w:val="nil"/>
              <w:left w:val="nil"/>
              <w:bottom w:val="single" w:color="000000" w:sz="8" w:space="0"/>
              <w:right w:val="single" w:color="000000" w:sz="8" w:space="0"/>
            </w:tcBorders>
            <w:shd w:val="clear" w:color="auto" w:fill="auto"/>
            <w:noWrap/>
            <w:vAlign w:val="center"/>
          </w:tcPr>
          <w:p w14:paraId="7307ED2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 xml:space="preserve">15.00 </w:t>
            </w:r>
          </w:p>
        </w:tc>
        <w:tc>
          <w:tcPr>
            <w:tcW w:w="1684" w:type="pct"/>
            <w:tcBorders>
              <w:top w:val="nil"/>
              <w:left w:val="nil"/>
              <w:bottom w:val="single" w:color="000000" w:sz="8" w:space="0"/>
              <w:right w:val="single" w:color="000000" w:sz="8" w:space="0"/>
            </w:tcBorders>
            <w:shd w:val="clear" w:color="auto" w:fill="auto"/>
            <w:noWrap/>
            <w:vAlign w:val="center"/>
          </w:tcPr>
          <w:p w14:paraId="71E02CB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1"/>
                <w:szCs w:val="21"/>
                <w:u w:val="none"/>
              </w:rPr>
            </w:pPr>
            <w:r>
              <w:rPr>
                <w:rFonts w:hint="default" w:ascii="Times New Roman" w:hAnsi="Times New Roman" w:eastAsia="等线" w:cs="Times New Roman"/>
                <w:b/>
                <w:bCs/>
                <w:i w:val="0"/>
                <w:iCs w:val="0"/>
                <w:color w:val="000000"/>
                <w:kern w:val="0"/>
                <w:sz w:val="21"/>
                <w:szCs w:val="21"/>
                <w:u w:val="none"/>
                <w:lang w:val="en-US" w:eastAsia="zh-CN" w:bidi="ar"/>
              </w:rPr>
              <w:t>0.08%</w:t>
            </w:r>
          </w:p>
        </w:tc>
      </w:tr>
      <w:tr w14:paraId="780298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48" w:type="pct"/>
            <w:tcBorders>
              <w:top w:val="nil"/>
              <w:left w:val="single" w:color="000000" w:sz="8" w:space="0"/>
              <w:bottom w:val="single" w:color="000000" w:sz="8" w:space="0"/>
              <w:right w:val="single" w:color="000000" w:sz="8" w:space="0"/>
            </w:tcBorders>
            <w:shd w:val="clear" w:color="auto" w:fill="auto"/>
            <w:vAlign w:val="center"/>
          </w:tcPr>
          <w:p w14:paraId="440A014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1"/>
                <w:szCs w:val="21"/>
                <w:u w:val="none"/>
              </w:rPr>
            </w:pPr>
            <w:r>
              <w:rPr>
                <w:rFonts w:hint="default" w:ascii="Times New Roman" w:hAnsi="Times New Roman" w:eastAsia="仿宋" w:cs="Times New Roman"/>
                <w:b/>
                <w:bCs/>
                <w:i w:val="0"/>
                <w:iCs w:val="0"/>
                <w:color w:val="000000"/>
                <w:kern w:val="0"/>
                <w:sz w:val="21"/>
                <w:szCs w:val="21"/>
                <w:u w:val="none"/>
                <w:lang w:val="en-US" w:eastAsia="zh-CN" w:bidi="ar"/>
              </w:rPr>
              <w:t>三</w:t>
            </w:r>
          </w:p>
        </w:tc>
        <w:tc>
          <w:tcPr>
            <w:tcW w:w="1678" w:type="pct"/>
            <w:tcBorders>
              <w:top w:val="nil"/>
              <w:left w:val="nil"/>
              <w:bottom w:val="single" w:color="000000" w:sz="8" w:space="0"/>
              <w:right w:val="single" w:color="000000" w:sz="8" w:space="0"/>
            </w:tcBorders>
            <w:shd w:val="clear" w:color="auto" w:fill="auto"/>
            <w:vAlign w:val="center"/>
          </w:tcPr>
          <w:p w14:paraId="3FF9D3C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1"/>
                <w:szCs w:val="21"/>
                <w:u w:val="none"/>
              </w:rPr>
            </w:pPr>
            <w:r>
              <w:rPr>
                <w:rFonts w:hint="default" w:ascii="Times New Roman" w:hAnsi="Times New Roman" w:eastAsia="仿宋" w:cs="Times New Roman"/>
                <w:b/>
                <w:bCs/>
                <w:i w:val="0"/>
                <w:iCs w:val="0"/>
                <w:color w:val="000000"/>
                <w:kern w:val="0"/>
                <w:sz w:val="21"/>
                <w:szCs w:val="21"/>
                <w:u w:val="none"/>
                <w:lang w:val="en-US" w:eastAsia="zh-CN" w:bidi="ar"/>
              </w:rPr>
              <w:t>动态投资总额</w:t>
            </w:r>
          </w:p>
        </w:tc>
        <w:tc>
          <w:tcPr>
            <w:tcW w:w="888" w:type="pct"/>
            <w:tcBorders>
              <w:top w:val="nil"/>
              <w:left w:val="nil"/>
              <w:bottom w:val="single" w:color="000000" w:sz="8" w:space="0"/>
              <w:right w:val="single" w:color="000000" w:sz="8" w:space="0"/>
            </w:tcBorders>
            <w:shd w:val="clear" w:color="auto" w:fill="auto"/>
            <w:noWrap/>
            <w:vAlign w:val="center"/>
          </w:tcPr>
          <w:p w14:paraId="41FD349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1"/>
                <w:szCs w:val="21"/>
                <w:u w:val="none"/>
              </w:rPr>
            </w:pPr>
            <w:r>
              <w:rPr>
                <w:rFonts w:hint="default" w:ascii="Times New Roman" w:hAnsi="Times New Roman" w:eastAsia="等线" w:cs="Times New Roman"/>
                <w:b/>
                <w:bCs/>
                <w:i w:val="0"/>
                <w:iCs w:val="0"/>
                <w:color w:val="000000"/>
                <w:kern w:val="0"/>
                <w:sz w:val="21"/>
                <w:szCs w:val="21"/>
                <w:u w:val="none"/>
                <w:lang w:val="en-US" w:eastAsia="zh-CN" w:bidi="ar"/>
              </w:rPr>
              <w:t xml:space="preserve">19552.60 </w:t>
            </w:r>
          </w:p>
        </w:tc>
        <w:tc>
          <w:tcPr>
            <w:tcW w:w="1684" w:type="pct"/>
            <w:tcBorders>
              <w:top w:val="nil"/>
              <w:left w:val="nil"/>
              <w:bottom w:val="single" w:color="000000" w:sz="8" w:space="0"/>
              <w:right w:val="single" w:color="000000" w:sz="8" w:space="0"/>
            </w:tcBorders>
            <w:shd w:val="clear" w:color="auto" w:fill="auto"/>
            <w:noWrap/>
            <w:vAlign w:val="center"/>
          </w:tcPr>
          <w:p w14:paraId="57973E6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1"/>
                <w:szCs w:val="21"/>
                <w:u w:val="none"/>
              </w:rPr>
            </w:pPr>
            <w:r>
              <w:rPr>
                <w:rFonts w:hint="default" w:ascii="Times New Roman" w:hAnsi="Times New Roman" w:eastAsia="等线" w:cs="Times New Roman"/>
                <w:b/>
                <w:bCs/>
                <w:i w:val="0"/>
                <w:iCs w:val="0"/>
                <w:color w:val="000000"/>
                <w:kern w:val="0"/>
                <w:sz w:val="21"/>
                <w:szCs w:val="21"/>
                <w:u w:val="none"/>
                <w:lang w:val="en-US" w:eastAsia="zh-CN" w:bidi="ar"/>
              </w:rPr>
              <w:t>100.00%</w:t>
            </w:r>
          </w:p>
        </w:tc>
      </w:tr>
      <w:tr w14:paraId="5D8C48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48" w:type="pct"/>
            <w:tcBorders>
              <w:top w:val="nil"/>
              <w:left w:val="single" w:color="000000" w:sz="8" w:space="0"/>
              <w:bottom w:val="single" w:color="000000" w:sz="8" w:space="0"/>
              <w:right w:val="single" w:color="000000" w:sz="8" w:space="0"/>
            </w:tcBorders>
            <w:shd w:val="clear" w:color="auto" w:fill="auto"/>
            <w:vAlign w:val="center"/>
          </w:tcPr>
          <w:p w14:paraId="6C1C548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其中：</w:t>
            </w:r>
          </w:p>
        </w:tc>
        <w:tc>
          <w:tcPr>
            <w:tcW w:w="1678" w:type="pct"/>
            <w:tcBorders>
              <w:top w:val="nil"/>
              <w:left w:val="nil"/>
              <w:bottom w:val="single" w:color="000000" w:sz="8" w:space="0"/>
              <w:right w:val="single" w:color="000000" w:sz="8" w:space="0"/>
            </w:tcBorders>
            <w:shd w:val="clear" w:color="auto" w:fill="auto"/>
            <w:vAlign w:val="center"/>
          </w:tcPr>
          <w:p w14:paraId="1588D3A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项目资本金</w:t>
            </w:r>
          </w:p>
        </w:tc>
        <w:tc>
          <w:tcPr>
            <w:tcW w:w="888" w:type="pct"/>
            <w:tcBorders>
              <w:top w:val="nil"/>
              <w:left w:val="nil"/>
              <w:bottom w:val="single" w:color="000000" w:sz="8" w:space="0"/>
              <w:right w:val="single" w:color="000000" w:sz="8" w:space="0"/>
            </w:tcBorders>
            <w:shd w:val="clear" w:color="auto" w:fill="auto"/>
            <w:noWrap/>
            <w:vAlign w:val="center"/>
          </w:tcPr>
          <w:p w14:paraId="302BC68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 xml:space="preserve">4552.60 </w:t>
            </w:r>
          </w:p>
        </w:tc>
        <w:tc>
          <w:tcPr>
            <w:tcW w:w="1684" w:type="pct"/>
            <w:tcBorders>
              <w:top w:val="nil"/>
              <w:left w:val="nil"/>
              <w:bottom w:val="single" w:color="000000" w:sz="8" w:space="0"/>
              <w:right w:val="single" w:color="000000" w:sz="8" w:space="0"/>
            </w:tcBorders>
            <w:shd w:val="clear" w:color="auto" w:fill="auto"/>
            <w:noWrap/>
            <w:vAlign w:val="center"/>
          </w:tcPr>
          <w:p w14:paraId="62A2D8D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1"/>
                <w:szCs w:val="21"/>
                <w:u w:val="none"/>
              </w:rPr>
            </w:pPr>
            <w:r>
              <w:rPr>
                <w:rFonts w:hint="default" w:ascii="Times New Roman" w:hAnsi="Times New Roman" w:eastAsia="等线" w:cs="Times New Roman"/>
                <w:b/>
                <w:bCs/>
                <w:i w:val="0"/>
                <w:iCs w:val="0"/>
                <w:color w:val="000000"/>
                <w:kern w:val="0"/>
                <w:sz w:val="21"/>
                <w:szCs w:val="21"/>
                <w:u w:val="none"/>
                <w:lang w:val="en-US" w:eastAsia="zh-CN" w:bidi="ar"/>
              </w:rPr>
              <w:t>23.28%</w:t>
            </w:r>
          </w:p>
        </w:tc>
      </w:tr>
      <w:tr w14:paraId="42A9F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48" w:type="pct"/>
            <w:tcBorders>
              <w:top w:val="nil"/>
              <w:left w:val="single" w:color="000000" w:sz="8" w:space="0"/>
              <w:bottom w:val="single" w:color="000000" w:sz="8" w:space="0"/>
              <w:right w:val="single" w:color="000000" w:sz="8" w:space="0"/>
            </w:tcBorders>
            <w:shd w:val="clear" w:color="auto" w:fill="auto"/>
            <w:vAlign w:val="center"/>
          </w:tcPr>
          <w:p w14:paraId="2781F01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21"/>
                <w:szCs w:val="21"/>
                <w:u w:val="none"/>
              </w:rPr>
            </w:pPr>
          </w:p>
        </w:tc>
        <w:tc>
          <w:tcPr>
            <w:tcW w:w="1678" w:type="pct"/>
            <w:tcBorders>
              <w:top w:val="nil"/>
              <w:left w:val="nil"/>
              <w:bottom w:val="single" w:color="000000" w:sz="8" w:space="0"/>
              <w:right w:val="single" w:color="000000" w:sz="8" w:space="0"/>
            </w:tcBorders>
            <w:shd w:val="clear" w:color="auto" w:fill="auto"/>
            <w:vAlign w:val="center"/>
          </w:tcPr>
          <w:p w14:paraId="45A01E9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发行债券</w:t>
            </w:r>
          </w:p>
        </w:tc>
        <w:tc>
          <w:tcPr>
            <w:tcW w:w="888" w:type="pct"/>
            <w:tcBorders>
              <w:top w:val="nil"/>
              <w:left w:val="nil"/>
              <w:bottom w:val="single" w:color="000000" w:sz="8" w:space="0"/>
              <w:right w:val="single" w:color="000000" w:sz="8" w:space="0"/>
            </w:tcBorders>
            <w:shd w:val="clear" w:color="auto" w:fill="auto"/>
            <w:noWrap/>
            <w:vAlign w:val="center"/>
          </w:tcPr>
          <w:p w14:paraId="4AD6D69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 xml:space="preserve">15000.00 </w:t>
            </w:r>
          </w:p>
        </w:tc>
        <w:tc>
          <w:tcPr>
            <w:tcW w:w="1684" w:type="pct"/>
            <w:tcBorders>
              <w:top w:val="nil"/>
              <w:left w:val="nil"/>
              <w:bottom w:val="single" w:color="000000" w:sz="8" w:space="0"/>
              <w:right w:val="single" w:color="000000" w:sz="8" w:space="0"/>
            </w:tcBorders>
            <w:shd w:val="clear" w:color="auto" w:fill="auto"/>
            <w:noWrap/>
            <w:vAlign w:val="center"/>
          </w:tcPr>
          <w:p w14:paraId="3294B98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1"/>
                <w:szCs w:val="21"/>
                <w:u w:val="none"/>
              </w:rPr>
            </w:pPr>
            <w:r>
              <w:rPr>
                <w:rFonts w:hint="default" w:ascii="Times New Roman" w:hAnsi="Times New Roman" w:eastAsia="等线" w:cs="Times New Roman"/>
                <w:b/>
                <w:bCs/>
                <w:i w:val="0"/>
                <w:iCs w:val="0"/>
                <w:color w:val="000000"/>
                <w:kern w:val="0"/>
                <w:sz w:val="21"/>
                <w:szCs w:val="21"/>
                <w:u w:val="none"/>
                <w:lang w:val="en-US" w:eastAsia="zh-CN" w:bidi="ar"/>
              </w:rPr>
              <w:t>76.72%</w:t>
            </w:r>
          </w:p>
        </w:tc>
      </w:tr>
    </w:tbl>
    <w:p w14:paraId="740926D9">
      <w:pPr>
        <w:ind w:firstLine="560"/>
        <w:rPr>
          <w:rFonts w:hint="default" w:ascii="Times New Roman" w:hAnsi="Times New Roman" w:cs="Times New Roman"/>
          <w:highlight w:val="yellow"/>
        </w:rPr>
        <w:sectPr>
          <w:footerReference r:id="rId3" w:type="default"/>
          <w:pgSz w:w="11906" w:h="16838"/>
          <w:pgMar w:top="1440" w:right="1800" w:bottom="1440" w:left="1800" w:header="851" w:footer="992" w:gutter="0"/>
          <w:pgNumType w:fmt="decimal" w:start="1"/>
          <w:cols w:space="720" w:num="1"/>
          <w:docGrid w:type="lines" w:linePitch="312" w:charSpace="0"/>
        </w:sectPr>
      </w:pPr>
    </w:p>
    <w:p w14:paraId="2CA2E839">
      <w:pPr>
        <w:spacing w:before="0" w:after="0" w:line="0" w:lineRule="atLeast"/>
        <w:ind w:firstLine="0" w:firstLineChars="0"/>
        <w:jc w:val="center"/>
        <w:rPr>
          <w:rFonts w:hint="default" w:ascii="Times New Roman" w:hAnsi="Times New Roman" w:cs="Times New Roman"/>
          <w:b/>
          <w:bCs/>
          <w:szCs w:val="28"/>
          <w:highlight w:val="none"/>
        </w:rPr>
      </w:pPr>
      <w:r>
        <w:rPr>
          <w:rFonts w:hint="default" w:ascii="Times New Roman" w:hAnsi="Times New Roman" w:cs="Times New Roman"/>
          <w:b/>
          <w:bCs/>
          <w:szCs w:val="28"/>
          <w:highlight w:val="none"/>
        </w:rPr>
        <w:t>表3-2投资估算明细表</w:t>
      </w:r>
    </w:p>
    <w:p w14:paraId="1B5788E9">
      <w:pPr>
        <w:spacing w:before="0" w:after="0" w:line="0" w:lineRule="atLeast"/>
        <w:ind w:firstLine="0" w:firstLineChars="0"/>
        <w:jc w:val="right"/>
        <w:rPr>
          <w:rFonts w:hint="default" w:ascii="Times New Roman" w:hAnsi="Times New Roman" w:cs="Times New Roman"/>
          <w:b/>
          <w:bCs/>
          <w:szCs w:val="28"/>
          <w:highlight w:val="none"/>
        </w:rPr>
      </w:pPr>
      <w:r>
        <w:rPr>
          <w:rFonts w:hint="default" w:ascii="Times New Roman" w:hAnsi="Times New Roman" w:cs="Times New Roman"/>
          <w:b/>
          <w:bCs/>
          <w:szCs w:val="28"/>
          <w:highlight w:val="none"/>
        </w:rPr>
        <w:t>单位：万元</w:t>
      </w:r>
    </w:p>
    <w:tbl>
      <w:tblPr>
        <w:tblStyle w:val="14"/>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39"/>
        <w:gridCol w:w="1776"/>
        <w:gridCol w:w="751"/>
        <w:gridCol w:w="610"/>
        <w:gridCol w:w="650"/>
        <w:gridCol w:w="706"/>
        <w:gridCol w:w="538"/>
        <w:gridCol w:w="795"/>
        <w:gridCol w:w="1319"/>
        <w:gridCol w:w="869"/>
        <w:gridCol w:w="4615"/>
      </w:tblGrid>
      <w:tr w14:paraId="60EB31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blHeader/>
        </w:trPr>
        <w:tc>
          <w:tcPr>
            <w:tcW w:w="276" w:type="pct"/>
            <w:vMerge w:val="restart"/>
            <w:tcBorders>
              <w:top w:val="single" w:color="000000" w:sz="8" w:space="0"/>
              <w:left w:val="single" w:color="000000" w:sz="8" w:space="0"/>
              <w:bottom w:val="single" w:color="000000" w:sz="8" w:space="0"/>
              <w:right w:val="single" w:color="000000" w:sz="8" w:space="0"/>
            </w:tcBorders>
            <w:shd w:val="clear" w:color="auto" w:fill="A6A6A6"/>
            <w:noWrap/>
            <w:vAlign w:val="center"/>
          </w:tcPr>
          <w:p w14:paraId="3CB76DD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序号</w:t>
            </w:r>
          </w:p>
        </w:tc>
        <w:tc>
          <w:tcPr>
            <w:tcW w:w="664" w:type="pct"/>
            <w:vMerge w:val="restart"/>
            <w:tcBorders>
              <w:top w:val="single" w:color="000000" w:sz="8" w:space="0"/>
              <w:left w:val="single" w:color="000000" w:sz="8" w:space="0"/>
              <w:bottom w:val="single" w:color="000000" w:sz="8" w:space="0"/>
              <w:right w:val="single" w:color="000000" w:sz="8" w:space="0"/>
            </w:tcBorders>
            <w:shd w:val="clear" w:color="auto" w:fill="A6A6A6"/>
            <w:noWrap/>
            <w:vAlign w:val="center"/>
          </w:tcPr>
          <w:p w14:paraId="7909653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项目/费用名称</w:t>
            </w:r>
          </w:p>
        </w:tc>
        <w:tc>
          <w:tcPr>
            <w:tcW w:w="752" w:type="pct"/>
            <w:gridSpan w:val="3"/>
            <w:tcBorders>
              <w:top w:val="single" w:color="000000" w:sz="8" w:space="0"/>
              <w:left w:val="single" w:color="000000" w:sz="8" w:space="0"/>
              <w:bottom w:val="single" w:color="000000" w:sz="8" w:space="0"/>
              <w:right w:val="single" w:color="000000" w:sz="8" w:space="0"/>
            </w:tcBorders>
            <w:shd w:val="clear" w:color="auto" w:fill="A6A6A6"/>
            <w:noWrap/>
            <w:vAlign w:val="center"/>
          </w:tcPr>
          <w:p w14:paraId="5C77E92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项目投资（万元）</w:t>
            </w:r>
          </w:p>
        </w:tc>
        <w:tc>
          <w:tcPr>
            <w:tcW w:w="264" w:type="pct"/>
            <w:tcBorders>
              <w:top w:val="single" w:color="000000" w:sz="8" w:space="0"/>
              <w:left w:val="single" w:color="000000" w:sz="8" w:space="0"/>
              <w:bottom w:val="nil"/>
              <w:right w:val="single" w:color="000000" w:sz="8" w:space="0"/>
            </w:tcBorders>
            <w:shd w:val="clear" w:color="auto" w:fill="A6A6A6"/>
            <w:vAlign w:val="center"/>
          </w:tcPr>
          <w:p w14:paraId="7A13145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合计</w:t>
            </w:r>
          </w:p>
        </w:tc>
        <w:tc>
          <w:tcPr>
            <w:tcW w:w="991" w:type="pct"/>
            <w:gridSpan w:val="3"/>
            <w:tcBorders>
              <w:top w:val="single" w:color="000000" w:sz="8" w:space="0"/>
              <w:left w:val="single" w:color="000000" w:sz="8" w:space="0"/>
              <w:bottom w:val="single" w:color="000000" w:sz="8" w:space="0"/>
              <w:right w:val="single" w:color="000000" w:sz="8" w:space="0"/>
            </w:tcBorders>
            <w:shd w:val="clear" w:color="auto" w:fill="A6A6A6"/>
            <w:noWrap/>
            <w:vAlign w:val="center"/>
          </w:tcPr>
          <w:p w14:paraId="74A6346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估算基础</w:t>
            </w:r>
          </w:p>
        </w:tc>
        <w:tc>
          <w:tcPr>
            <w:tcW w:w="325" w:type="pct"/>
            <w:vMerge w:val="restart"/>
            <w:tcBorders>
              <w:top w:val="single" w:color="000000" w:sz="8" w:space="0"/>
              <w:left w:val="single" w:color="000000" w:sz="8" w:space="0"/>
              <w:bottom w:val="single" w:color="000000" w:sz="8" w:space="0"/>
              <w:right w:val="single" w:color="000000" w:sz="8" w:space="0"/>
            </w:tcBorders>
            <w:shd w:val="clear" w:color="auto" w:fill="A6A6A6"/>
            <w:noWrap/>
            <w:vAlign w:val="center"/>
          </w:tcPr>
          <w:p w14:paraId="5D0C391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比例（%）</w:t>
            </w:r>
          </w:p>
        </w:tc>
        <w:tc>
          <w:tcPr>
            <w:tcW w:w="1725" w:type="pct"/>
            <w:vMerge w:val="restart"/>
            <w:tcBorders>
              <w:top w:val="single" w:color="000000" w:sz="8" w:space="0"/>
              <w:left w:val="single" w:color="000000" w:sz="8" w:space="0"/>
              <w:bottom w:val="single" w:color="000000" w:sz="8" w:space="0"/>
              <w:right w:val="single" w:color="000000" w:sz="8" w:space="0"/>
            </w:tcBorders>
            <w:shd w:val="clear" w:color="auto" w:fill="A6A6A6"/>
            <w:noWrap/>
            <w:vAlign w:val="center"/>
          </w:tcPr>
          <w:p w14:paraId="0B41746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备注</w:t>
            </w:r>
          </w:p>
        </w:tc>
      </w:tr>
      <w:tr w14:paraId="76C912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blHeader/>
        </w:trPr>
        <w:tc>
          <w:tcPr>
            <w:tcW w:w="276" w:type="pct"/>
            <w:vMerge w:val="continue"/>
            <w:tcBorders>
              <w:top w:val="single" w:color="000000" w:sz="8" w:space="0"/>
              <w:left w:val="single" w:color="000000" w:sz="8" w:space="0"/>
              <w:bottom w:val="single" w:color="000000" w:sz="8" w:space="0"/>
              <w:right w:val="single" w:color="000000" w:sz="8" w:space="0"/>
            </w:tcBorders>
            <w:shd w:val="clear" w:color="auto" w:fill="A6A6A6"/>
            <w:noWrap/>
            <w:vAlign w:val="center"/>
          </w:tcPr>
          <w:p w14:paraId="655074C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b/>
                <w:bCs/>
                <w:i w:val="0"/>
                <w:iCs w:val="0"/>
                <w:color w:val="000000"/>
                <w:sz w:val="13"/>
                <w:szCs w:val="13"/>
                <w:u w:val="none"/>
              </w:rPr>
            </w:pPr>
          </w:p>
        </w:tc>
        <w:tc>
          <w:tcPr>
            <w:tcW w:w="664" w:type="pct"/>
            <w:vMerge w:val="continue"/>
            <w:tcBorders>
              <w:top w:val="single" w:color="000000" w:sz="8" w:space="0"/>
              <w:left w:val="single" w:color="000000" w:sz="8" w:space="0"/>
              <w:bottom w:val="single" w:color="000000" w:sz="8" w:space="0"/>
              <w:right w:val="single" w:color="000000" w:sz="8" w:space="0"/>
            </w:tcBorders>
            <w:shd w:val="clear" w:color="auto" w:fill="A6A6A6"/>
            <w:noWrap/>
            <w:vAlign w:val="center"/>
          </w:tcPr>
          <w:p w14:paraId="57B4261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b/>
                <w:bCs/>
                <w:i w:val="0"/>
                <w:iCs w:val="0"/>
                <w:color w:val="000000"/>
                <w:sz w:val="13"/>
                <w:szCs w:val="13"/>
                <w:u w:val="none"/>
              </w:rPr>
            </w:pPr>
          </w:p>
        </w:tc>
        <w:tc>
          <w:tcPr>
            <w:tcW w:w="281" w:type="pct"/>
            <w:tcBorders>
              <w:top w:val="nil"/>
              <w:left w:val="single" w:color="000000" w:sz="8" w:space="0"/>
              <w:bottom w:val="single" w:color="000000" w:sz="8" w:space="0"/>
              <w:right w:val="single" w:color="000000" w:sz="8" w:space="0"/>
            </w:tcBorders>
            <w:shd w:val="clear" w:color="auto" w:fill="A6A6A6"/>
            <w:vAlign w:val="center"/>
          </w:tcPr>
          <w:p w14:paraId="39A1AFC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建筑安装工程费用</w:t>
            </w:r>
          </w:p>
        </w:tc>
        <w:tc>
          <w:tcPr>
            <w:tcW w:w="228" w:type="pct"/>
            <w:tcBorders>
              <w:top w:val="nil"/>
              <w:left w:val="single" w:color="000000" w:sz="8" w:space="0"/>
              <w:bottom w:val="single" w:color="000000" w:sz="8" w:space="0"/>
              <w:right w:val="single" w:color="000000" w:sz="8" w:space="0"/>
            </w:tcBorders>
            <w:shd w:val="clear" w:color="auto" w:fill="A6A6A6"/>
            <w:vAlign w:val="center"/>
          </w:tcPr>
          <w:p w14:paraId="05B348D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设备购置费用</w:t>
            </w:r>
          </w:p>
        </w:tc>
        <w:tc>
          <w:tcPr>
            <w:tcW w:w="242" w:type="pct"/>
            <w:tcBorders>
              <w:top w:val="nil"/>
              <w:left w:val="single" w:color="000000" w:sz="8" w:space="0"/>
              <w:bottom w:val="single" w:color="000000" w:sz="8" w:space="0"/>
              <w:right w:val="single" w:color="000000" w:sz="8" w:space="0"/>
            </w:tcBorders>
            <w:shd w:val="clear" w:color="auto" w:fill="A6A6A6"/>
            <w:vAlign w:val="center"/>
          </w:tcPr>
          <w:p w14:paraId="57977C7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其他费用</w:t>
            </w:r>
          </w:p>
        </w:tc>
        <w:tc>
          <w:tcPr>
            <w:tcW w:w="264" w:type="pct"/>
            <w:tcBorders>
              <w:top w:val="nil"/>
              <w:left w:val="single" w:color="000000" w:sz="8" w:space="0"/>
              <w:bottom w:val="single" w:color="000000" w:sz="8" w:space="0"/>
              <w:right w:val="single" w:color="000000" w:sz="8" w:space="0"/>
            </w:tcBorders>
            <w:shd w:val="clear" w:color="auto" w:fill="A6A6A6"/>
            <w:vAlign w:val="center"/>
          </w:tcPr>
          <w:p w14:paraId="3EE1586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（万元）</w:t>
            </w:r>
          </w:p>
        </w:tc>
        <w:tc>
          <w:tcPr>
            <w:tcW w:w="201" w:type="pct"/>
            <w:tcBorders>
              <w:top w:val="nil"/>
              <w:left w:val="single" w:color="000000" w:sz="8" w:space="0"/>
              <w:bottom w:val="single" w:color="000000" w:sz="8" w:space="0"/>
              <w:right w:val="single" w:color="000000" w:sz="8" w:space="0"/>
            </w:tcBorders>
            <w:shd w:val="clear" w:color="auto" w:fill="A6A6A6"/>
            <w:noWrap/>
            <w:vAlign w:val="center"/>
          </w:tcPr>
          <w:p w14:paraId="52EEC87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单位</w:t>
            </w:r>
          </w:p>
        </w:tc>
        <w:tc>
          <w:tcPr>
            <w:tcW w:w="297" w:type="pct"/>
            <w:tcBorders>
              <w:top w:val="single" w:color="000000" w:sz="8" w:space="0"/>
              <w:left w:val="single" w:color="000000" w:sz="8" w:space="0"/>
              <w:bottom w:val="single" w:color="000000" w:sz="8" w:space="0"/>
              <w:right w:val="single" w:color="000000" w:sz="8" w:space="0"/>
            </w:tcBorders>
            <w:shd w:val="clear" w:color="auto" w:fill="A6A6A6"/>
            <w:noWrap/>
            <w:vAlign w:val="center"/>
          </w:tcPr>
          <w:p w14:paraId="7ADE7FB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工程量</w:t>
            </w:r>
          </w:p>
        </w:tc>
        <w:tc>
          <w:tcPr>
            <w:tcW w:w="492" w:type="pct"/>
            <w:tcBorders>
              <w:top w:val="single" w:color="000000" w:sz="8" w:space="0"/>
              <w:left w:val="single" w:color="000000" w:sz="8" w:space="0"/>
              <w:bottom w:val="single" w:color="000000" w:sz="8" w:space="0"/>
              <w:right w:val="single" w:color="000000" w:sz="8" w:space="0"/>
            </w:tcBorders>
            <w:shd w:val="clear" w:color="auto" w:fill="A6A6A6"/>
            <w:noWrap/>
            <w:vAlign w:val="center"/>
          </w:tcPr>
          <w:p w14:paraId="3B91607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单价（元/单位）</w:t>
            </w:r>
          </w:p>
        </w:tc>
        <w:tc>
          <w:tcPr>
            <w:tcW w:w="325" w:type="pct"/>
            <w:vMerge w:val="continue"/>
            <w:tcBorders>
              <w:top w:val="single" w:color="000000" w:sz="8" w:space="0"/>
              <w:left w:val="single" w:color="000000" w:sz="8" w:space="0"/>
              <w:bottom w:val="single" w:color="000000" w:sz="8" w:space="0"/>
              <w:right w:val="single" w:color="000000" w:sz="8" w:space="0"/>
            </w:tcBorders>
            <w:shd w:val="clear" w:color="auto" w:fill="A6A6A6"/>
            <w:noWrap/>
            <w:vAlign w:val="center"/>
          </w:tcPr>
          <w:p w14:paraId="5E84D7B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b/>
                <w:bCs/>
                <w:i w:val="0"/>
                <w:iCs w:val="0"/>
                <w:color w:val="000000"/>
                <w:sz w:val="13"/>
                <w:szCs w:val="13"/>
                <w:u w:val="none"/>
              </w:rPr>
            </w:pPr>
          </w:p>
        </w:tc>
        <w:tc>
          <w:tcPr>
            <w:tcW w:w="1725" w:type="pct"/>
            <w:vMerge w:val="continue"/>
            <w:tcBorders>
              <w:top w:val="single" w:color="000000" w:sz="8" w:space="0"/>
              <w:left w:val="single" w:color="000000" w:sz="8" w:space="0"/>
              <w:bottom w:val="single" w:color="000000" w:sz="8" w:space="0"/>
              <w:right w:val="single" w:color="000000" w:sz="8" w:space="0"/>
            </w:tcBorders>
            <w:shd w:val="clear" w:color="auto" w:fill="A6A6A6"/>
            <w:noWrap/>
            <w:vAlign w:val="center"/>
          </w:tcPr>
          <w:p w14:paraId="399E50C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b/>
                <w:bCs/>
                <w:i w:val="0"/>
                <w:iCs w:val="0"/>
                <w:color w:val="000000"/>
                <w:sz w:val="13"/>
                <w:szCs w:val="13"/>
                <w:u w:val="none"/>
              </w:rPr>
            </w:pPr>
          </w:p>
        </w:tc>
      </w:tr>
      <w:tr w14:paraId="465567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34EE2DC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第一部分</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7EF389F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建设投资</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26DA25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14962.54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579469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1231.3</w:t>
            </w: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9A5B52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2383.76</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0AD1F6F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18833.6</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6CBF8E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3EA2B2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6BDC44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3D2E176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96.32%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4435321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r>
      <w:tr w14:paraId="1B64B1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3180B5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一</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482F769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工程费用</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79E627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14962.54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26DE286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1231.3</w:t>
            </w: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698C441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53A123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16193.84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484AAD9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883407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22951.11</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2461942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6519.31</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3E11D24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82.82%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F55E95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r>
      <w:tr w14:paraId="461BFD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97D856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（一）</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8341C9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地上部分</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240600B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8138.28</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040A45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E18F09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8EC750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8138.28</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7DBC82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223543C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12458.48</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2F02588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6532.32</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AF1E64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41.62%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66AE28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建筑总高22.5m；钢筋混凝土框架结构；绿建一星；装配率50%</w:t>
            </w:r>
          </w:p>
        </w:tc>
      </w:tr>
      <w:tr w14:paraId="16F4BB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9C82E5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4787FA7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土建工程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0ADC7B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4485.05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0CF8B19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5D33FC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C709A1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4485.05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30E1049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047BAA5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12458.48</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BF20C9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3600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D93C55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22.94%</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67A63941">
            <w:pPr>
              <w:keepNext w:val="0"/>
              <w:keepLines w:val="0"/>
              <w:pageBreakBefore w:val="0"/>
              <w:widowControl/>
              <w:kinsoku/>
              <w:wordWrap/>
              <w:overflowPunct/>
              <w:topLinePunct w:val="0"/>
              <w:autoSpaceDE/>
              <w:autoSpaceDN/>
              <w:bidi w:val="0"/>
              <w:adjustRightInd/>
              <w:snapToGrid/>
              <w:spacing w:line="240" w:lineRule="atLeast"/>
              <w:ind w:firstLine="0" w:firstLineChars="0"/>
              <w:jc w:val="both"/>
              <w:rPr>
                <w:rFonts w:hint="default" w:ascii="Times New Roman" w:hAnsi="Times New Roman" w:eastAsia="等线" w:cs="Times New Roman"/>
                <w:i w:val="0"/>
                <w:iCs w:val="0"/>
                <w:color w:val="000000"/>
                <w:sz w:val="13"/>
                <w:szCs w:val="13"/>
                <w:u w:val="none"/>
              </w:rPr>
            </w:pPr>
          </w:p>
        </w:tc>
      </w:tr>
      <w:tr w14:paraId="04F525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71C1938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7C06763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室内装饰装修工程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A7F837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1814.1</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818979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B469CD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592DF4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1814.1</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223477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3FEEAD9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12458.48</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CB9352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1456.12</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826CDC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9.28%</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08EA788">
            <w:pPr>
              <w:keepNext w:val="0"/>
              <w:keepLines w:val="0"/>
              <w:pageBreakBefore w:val="0"/>
              <w:widowControl/>
              <w:kinsoku/>
              <w:wordWrap/>
              <w:overflowPunct/>
              <w:topLinePunct w:val="0"/>
              <w:autoSpaceDE/>
              <w:autoSpaceDN/>
              <w:bidi w:val="0"/>
              <w:adjustRightInd/>
              <w:snapToGrid/>
              <w:spacing w:line="240" w:lineRule="atLeast"/>
              <w:ind w:firstLine="0" w:firstLineChars="0"/>
              <w:jc w:val="both"/>
              <w:rPr>
                <w:rFonts w:hint="default" w:ascii="Times New Roman" w:hAnsi="Times New Roman" w:eastAsia="等线" w:cs="Times New Roman"/>
                <w:i w:val="0"/>
                <w:iCs w:val="0"/>
                <w:color w:val="000000"/>
                <w:sz w:val="13"/>
                <w:szCs w:val="13"/>
                <w:u w:val="none"/>
              </w:rPr>
            </w:pPr>
          </w:p>
        </w:tc>
      </w:tr>
      <w:tr w14:paraId="155EBD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vMerge w:val="restart"/>
            <w:tcBorders>
              <w:top w:val="nil"/>
              <w:left w:val="single" w:color="000000" w:sz="8" w:space="0"/>
              <w:bottom w:val="single" w:color="000000" w:sz="8" w:space="0"/>
              <w:right w:val="single" w:color="000000" w:sz="8" w:space="0"/>
            </w:tcBorders>
            <w:shd w:val="clear" w:color="auto" w:fill="auto"/>
            <w:noWrap/>
            <w:vAlign w:val="center"/>
          </w:tcPr>
          <w:p w14:paraId="2331FF7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46E146D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50m</w:t>
            </w:r>
            <w:r>
              <w:rPr>
                <w:rFonts w:hint="default" w:ascii="Times New Roman" w:hAnsi="Times New Roman" w:eastAsia="宋体" w:cs="Times New Roman"/>
                <w:i w:val="0"/>
                <w:iCs w:val="0"/>
                <w:color w:val="000000"/>
                <w:kern w:val="0"/>
                <w:sz w:val="13"/>
                <w:szCs w:val="13"/>
                <w:u w:val="none"/>
                <w:lang w:val="en-US" w:eastAsia="zh-CN" w:bidi="ar"/>
              </w:rPr>
              <w:t>标准</w:t>
            </w:r>
            <w:r>
              <w:rPr>
                <w:rFonts w:hint="default" w:ascii="Times New Roman" w:hAnsi="Times New Roman" w:eastAsia="等线" w:cs="Times New Roman"/>
                <w:i w:val="0"/>
                <w:iCs w:val="0"/>
                <w:color w:val="000000"/>
                <w:kern w:val="0"/>
                <w:sz w:val="13"/>
                <w:szCs w:val="13"/>
                <w:u w:val="none"/>
                <w:lang w:val="en-US" w:eastAsia="zh-CN" w:bidi="ar"/>
              </w:rPr>
              <w:t>8</w:t>
            </w:r>
            <w:r>
              <w:rPr>
                <w:rFonts w:hint="default" w:ascii="Times New Roman" w:hAnsi="Times New Roman" w:eastAsia="宋体" w:cs="Times New Roman"/>
                <w:i w:val="0"/>
                <w:iCs w:val="0"/>
                <w:color w:val="000000"/>
                <w:kern w:val="0"/>
                <w:sz w:val="13"/>
                <w:szCs w:val="13"/>
                <w:u w:val="none"/>
                <w:lang w:val="en-US" w:eastAsia="zh-CN" w:bidi="ar"/>
              </w:rPr>
              <w:t>道游泳池</w:t>
            </w:r>
          </w:p>
        </w:tc>
        <w:tc>
          <w:tcPr>
            <w:tcW w:w="281" w:type="pct"/>
            <w:vMerge w:val="restart"/>
            <w:tcBorders>
              <w:top w:val="nil"/>
              <w:left w:val="single" w:color="000000" w:sz="8" w:space="0"/>
              <w:bottom w:val="single" w:color="000000" w:sz="8" w:space="0"/>
              <w:right w:val="single" w:color="000000" w:sz="8" w:space="0"/>
            </w:tcBorders>
            <w:shd w:val="clear" w:color="auto" w:fill="auto"/>
            <w:noWrap/>
            <w:vAlign w:val="center"/>
          </w:tcPr>
          <w:p w14:paraId="18CCF24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420.86</w:t>
            </w:r>
          </w:p>
        </w:tc>
        <w:tc>
          <w:tcPr>
            <w:tcW w:w="228" w:type="pct"/>
            <w:vMerge w:val="restart"/>
            <w:tcBorders>
              <w:top w:val="nil"/>
              <w:left w:val="single" w:color="000000" w:sz="8" w:space="0"/>
              <w:bottom w:val="single" w:color="000000" w:sz="8" w:space="0"/>
              <w:right w:val="single" w:color="000000" w:sz="8" w:space="0"/>
            </w:tcBorders>
            <w:shd w:val="clear" w:color="auto" w:fill="auto"/>
            <w:noWrap/>
            <w:vAlign w:val="center"/>
          </w:tcPr>
          <w:p w14:paraId="3A35F9B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restart"/>
            <w:tcBorders>
              <w:top w:val="nil"/>
              <w:left w:val="single" w:color="000000" w:sz="8" w:space="0"/>
              <w:bottom w:val="single" w:color="000000" w:sz="8" w:space="0"/>
              <w:right w:val="single" w:color="000000" w:sz="8" w:space="0"/>
            </w:tcBorders>
            <w:shd w:val="clear" w:color="auto" w:fill="auto"/>
            <w:noWrap/>
            <w:vAlign w:val="center"/>
          </w:tcPr>
          <w:p w14:paraId="1CC4D10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2E0D9F5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420.86</w:t>
            </w:r>
          </w:p>
        </w:tc>
        <w:tc>
          <w:tcPr>
            <w:tcW w:w="201" w:type="pct"/>
            <w:vMerge w:val="restart"/>
            <w:tcBorders>
              <w:top w:val="nil"/>
              <w:left w:val="single" w:color="000000" w:sz="8" w:space="0"/>
              <w:bottom w:val="single" w:color="000000" w:sz="8" w:space="0"/>
              <w:right w:val="single" w:color="000000" w:sz="8" w:space="0"/>
            </w:tcBorders>
            <w:shd w:val="clear" w:color="auto" w:fill="auto"/>
            <w:noWrap/>
            <w:vAlign w:val="center"/>
          </w:tcPr>
          <w:p w14:paraId="5C97ACA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vMerge w:val="restart"/>
            <w:tcBorders>
              <w:top w:val="nil"/>
              <w:left w:val="single" w:color="000000" w:sz="8" w:space="0"/>
              <w:bottom w:val="single" w:color="000000" w:sz="8" w:space="0"/>
              <w:right w:val="single" w:color="000000" w:sz="8" w:space="0"/>
            </w:tcBorders>
            <w:shd w:val="clear" w:color="auto" w:fill="auto"/>
            <w:noWrap/>
            <w:vAlign w:val="center"/>
          </w:tcPr>
          <w:p w14:paraId="27ADB18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1841.84</w:t>
            </w:r>
          </w:p>
        </w:tc>
        <w:tc>
          <w:tcPr>
            <w:tcW w:w="492" w:type="pct"/>
            <w:vMerge w:val="restart"/>
            <w:tcBorders>
              <w:top w:val="nil"/>
              <w:left w:val="single" w:color="000000" w:sz="8" w:space="0"/>
              <w:bottom w:val="single" w:color="000000" w:sz="8" w:space="0"/>
              <w:right w:val="single" w:color="000000" w:sz="8" w:space="0"/>
            </w:tcBorders>
            <w:shd w:val="clear" w:color="auto" w:fill="auto"/>
            <w:noWrap/>
            <w:vAlign w:val="center"/>
          </w:tcPr>
          <w:p w14:paraId="02B6988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2285</w:t>
            </w:r>
          </w:p>
        </w:tc>
        <w:tc>
          <w:tcPr>
            <w:tcW w:w="325" w:type="pct"/>
            <w:vMerge w:val="restart"/>
            <w:tcBorders>
              <w:top w:val="nil"/>
              <w:left w:val="single" w:color="000000" w:sz="8" w:space="0"/>
              <w:bottom w:val="single" w:color="000000" w:sz="8" w:space="0"/>
              <w:right w:val="single" w:color="000000" w:sz="8" w:space="0"/>
            </w:tcBorders>
            <w:shd w:val="clear" w:color="auto" w:fill="auto"/>
            <w:noWrap/>
            <w:vAlign w:val="center"/>
          </w:tcPr>
          <w:p w14:paraId="16DD4FC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2.15%</w:t>
            </w:r>
          </w:p>
        </w:tc>
        <w:tc>
          <w:tcPr>
            <w:tcW w:w="1725" w:type="pct"/>
            <w:tcBorders>
              <w:top w:val="nil"/>
              <w:left w:val="single" w:color="000000" w:sz="8" w:space="0"/>
              <w:bottom w:val="nil"/>
              <w:right w:val="single" w:color="000000" w:sz="8" w:space="0"/>
            </w:tcBorders>
            <w:shd w:val="clear" w:color="auto" w:fill="auto"/>
            <w:vAlign w:val="center"/>
          </w:tcPr>
          <w:p w14:paraId="2D89925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w:t>
            </w:r>
            <w:r>
              <w:rPr>
                <w:rFonts w:hint="default" w:ascii="Times New Roman" w:hAnsi="Times New Roman" w:eastAsia="宋体" w:cs="Times New Roman"/>
                <w:i w:val="0"/>
                <w:iCs w:val="0"/>
                <w:color w:val="000000"/>
                <w:kern w:val="0"/>
                <w:sz w:val="13"/>
                <w:szCs w:val="13"/>
                <w:u w:val="none"/>
                <w:lang w:val="en-US" w:eastAsia="zh-CN" w:bidi="ar"/>
              </w:rPr>
              <w:t>个</w:t>
            </w:r>
            <w:r>
              <w:rPr>
                <w:rFonts w:hint="default" w:ascii="Times New Roman" w:hAnsi="Times New Roman" w:eastAsia="等线" w:cs="Times New Roman"/>
                <w:i w:val="0"/>
                <w:iCs w:val="0"/>
                <w:color w:val="000000"/>
                <w:kern w:val="0"/>
                <w:sz w:val="13"/>
                <w:szCs w:val="13"/>
                <w:u w:val="none"/>
                <w:lang w:val="en-US" w:eastAsia="zh-CN" w:bidi="ar"/>
              </w:rPr>
              <w:t>8</w:t>
            </w:r>
            <w:r>
              <w:rPr>
                <w:rFonts w:hint="default" w:ascii="Times New Roman" w:hAnsi="Times New Roman" w:eastAsia="宋体" w:cs="Times New Roman"/>
                <w:i w:val="0"/>
                <w:iCs w:val="0"/>
                <w:color w:val="000000"/>
                <w:kern w:val="0"/>
                <w:sz w:val="13"/>
                <w:szCs w:val="13"/>
                <w:u w:val="none"/>
                <w:lang w:val="en-US" w:eastAsia="zh-CN" w:bidi="ar"/>
              </w:rPr>
              <w:t>道标准</w:t>
            </w:r>
            <w:r>
              <w:rPr>
                <w:rFonts w:hint="default" w:ascii="Times New Roman" w:hAnsi="Times New Roman" w:eastAsia="等线" w:cs="Times New Roman"/>
                <w:i w:val="0"/>
                <w:iCs w:val="0"/>
                <w:color w:val="000000"/>
                <w:kern w:val="0"/>
                <w:sz w:val="13"/>
                <w:szCs w:val="13"/>
                <w:u w:val="none"/>
                <w:lang w:val="en-US" w:eastAsia="zh-CN" w:bidi="ar"/>
              </w:rPr>
              <w:t>50m</w:t>
            </w:r>
            <w:r>
              <w:rPr>
                <w:rFonts w:hint="default" w:ascii="Times New Roman" w:hAnsi="Times New Roman" w:eastAsia="宋体" w:cs="Times New Roman"/>
                <w:i w:val="0"/>
                <w:iCs w:val="0"/>
                <w:color w:val="000000"/>
                <w:kern w:val="0"/>
                <w:sz w:val="13"/>
                <w:szCs w:val="13"/>
                <w:u w:val="none"/>
                <w:lang w:val="en-US" w:eastAsia="zh-CN" w:bidi="ar"/>
              </w:rPr>
              <w:t>游泳池</w:t>
            </w:r>
          </w:p>
        </w:tc>
      </w:tr>
      <w:tr w14:paraId="7B84CA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vMerge w:val="continue"/>
            <w:tcBorders>
              <w:top w:val="nil"/>
              <w:left w:val="single" w:color="000000" w:sz="8" w:space="0"/>
              <w:bottom w:val="single" w:color="000000" w:sz="8" w:space="0"/>
              <w:right w:val="single" w:color="000000" w:sz="8" w:space="0"/>
            </w:tcBorders>
            <w:shd w:val="clear" w:color="auto" w:fill="auto"/>
            <w:noWrap/>
            <w:vAlign w:val="center"/>
          </w:tcPr>
          <w:p w14:paraId="0948164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0CE9274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8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74D6CE7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vMerge w:val="continue"/>
            <w:tcBorders>
              <w:top w:val="nil"/>
              <w:left w:val="single" w:color="000000" w:sz="8" w:space="0"/>
              <w:bottom w:val="single" w:color="000000" w:sz="8" w:space="0"/>
              <w:right w:val="single" w:color="000000" w:sz="8" w:space="0"/>
            </w:tcBorders>
            <w:shd w:val="clear" w:color="auto" w:fill="auto"/>
            <w:noWrap/>
            <w:vAlign w:val="center"/>
          </w:tcPr>
          <w:p w14:paraId="6F30926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23921E7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0EFEC05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0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7CFBF46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97" w:type="pct"/>
            <w:vMerge w:val="continue"/>
            <w:tcBorders>
              <w:top w:val="nil"/>
              <w:left w:val="single" w:color="000000" w:sz="8" w:space="0"/>
              <w:bottom w:val="single" w:color="000000" w:sz="8" w:space="0"/>
              <w:right w:val="single" w:color="000000" w:sz="8" w:space="0"/>
            </w:tcBorders>
            <w:shd w:val="clear" w:color="auto" w:fill="auto"/>
            <w:noWrap/>
            <w:vAlign w:val="center"/>
          </w:tcPr>
          <w:p w14:paraId="4E2E925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7E434E7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vMerge w:val="continue"/>
            <w:tcBorders>
              <w:top w:val="nil"/>
              <w:left w:val="single" w:color="000000" w:sz="8" w:space="0"/>
              <w:bottom w:val="single" w:color="000000" w:sz="8" w:space="0"/>
              <w:right w:val="single" w:color="000000" w:sz="8" w:space="0"/>
            </w:tcBorders>
            <w:shd w:val="clear" w:color="auto" w:fill="auto"/>
            <w:noWrap/>
            <w:vAlign w:val="center"/>
          </w:tcPr>
          <w:p w14:paraId="2BFC7F6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71CF8E7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地面瓷砖、墙面吸声板、顶棚空间吸声体</w:t>
            </w:r>
          </w:p>
        </w:tc>
      </w:tr>
      <w:tr w14:paraId="03B2F3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vMerge w:val="restart"/>
            <w:tcBorders>
              <w:top w:val="nil"/>
              <w:left w:val="single" w:color="000000" w:sz="8" w:space="0"/>
              <w:bottom w:val="single" w:color="000000" w:sz="8" w:space="0"/>
              <w:right w:val="single" w:color="000000" w:sz="8" w:space="0"/>
            </w:tcBorders>
            <w:shd w:val="clear" w:color="auto" w:fill="auto"/>
            <w:noWrap/>
            <w:vAlign w:val="center"/>
          </w:tcPr>
          <w:p w14:paraId="04D5429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4721CF7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游泳配套功能区</w:t>
            </w:r>
          </w:p>
        </w:tc>
        <w:tc>
          <w:tcPr>
            <w:tcW w:w="281" w:type="pct"/>
            <w:vMerge w:val="restart"/>
            <w:tcBorders>
              <w:top w:val="nil"/>
              <w:left w:val="single" w:color="000000" w:sz="8" w:space="0"/>
              <w:bottom w:val="single" w:color="000000" w:sz="8" w:space="0"/>
              <w:right w:val="single" w:color="000000" w:sz="8" w:space="0"/>
            </w:tcBorders>
            <w:shd w:val="clear" w:color="auto" w:fill="auto"/>
            <w:noWrap/>
            <w:vAlign w:val="center"/>
          </w:tcPr>
          <w:p w14:paraId="30FCA50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74.48</w:t>
            </w:r>
          </w:p>
        </w:tc>
        <w:tc>
          <w:tcPr>
            <w:tcW w:w="228" w:type="pct"/>
            <w:vMerge w:val="restart"/>
            <w:tcBorders>
              <w:top w:val="nil"/>
              <w:left w:val="single" w:color="000000" w:sz="8" w:space="0"/>
              <w:bottom w:val="single" w:color="000000" w:sz="8" w:space="0"/>
              <w:right w:val="single" w:color="000000" w:sz="8" w:space="0"/>
            </w:tcBorders>
            <w:shd w:val="clear" w:color="auto" w:fill="auto"/>
            <w:noWrap/>
            <w:vAlign w:val="center"/>
          </w:tcPr>
          <w:p w14:paraId="351EA0D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restart"/>
            <w:tcBorders>
              <w:top w:val="nil"/>
              <w:left w:val="single" w:color="000000" w:sz="8" w:space="0"/>
              <w:bottom w:val="single" w:color="000000" w:sz="8" w:space="0"/>
              <w:right w:val="single" w:color="000000" w:sz="8" w:space="0"/>
            </w:tcBorders>
            <w:shd w:val="clear" w:color="auto" w:fill="auto"/>
            <w:noWrap/>
            <w:vAlign w:val="center"/>
          </w:tcPr>
          <w:p w14:paraId="39219BA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2F33C98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74.48</w:t>
            </w:r>
          </w:p>
        </w:tc>
        <w:tc>
          <w:tcPr>
            <w:tcW w:w="201" w:type="pct"/>
            <w:vMerge w:val="restart"/>
            <w:tcBorders>
              <w:top w:val="nil"/>
              <w:left w:val="single" w:color="000000" w:sz="8" w:space="0"/>
              <w:bottom w:val="single" w:color="000000" w:sz="8" w:space="0"/>
              <w:right w:val="single" w:color="000000" w:sz="8" w:space="0"/>
            </w:tcBorders>
            <w:shd w:val="clear" w:color="auto" w:fill="auto"/>
            <w:noWrap/>
            <w:vAlign w:val="center"/>
          </w:tcPr>
          <w:p w14:paraId="546B563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vMerge w:val="restart"/>
            <w:tcBorders>
              <w:top w:val="nil"/>
              <w:left w:val="single" w:color="000000" w:sz="8" w:space="0"/>
              <w:bottom w:val="single" w:color="000000" w:sz="8" w:space="0"/>
              <w:right w:val="single" w:color="000000" w:sz="8" w:space="0"/>
            </w:tcBorders>
            <w:shd w:val="clear" w:color="auto" w:fill="auto"/>
            <w:noWrap/>
            <w:vAlign w:val="center"/>
          </w:tcPr>
          <w:p w14:paraId="040B3C8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846.34</w:t>
            </w:r>
          </w:p>
        </w:tc>
        <w:tc>
          <w:tcPr>
            <w:tcW w:w="492" w:type="pct"/>
            <w:vMerge w:val="restart"/>
            <w:tcBorders>
              <w:top w:val="nil"/>
              <w:left w:val="single" w:color="000000" w:sz="8" w:space="0"/>
              <w:bottom w:val="single" w:color="000000" w:sz="8" w:space="0"/>
              <w:right w:val="single" w:color="000000" w:sz="8" w:space="0"/>
            </w:tcBorders>
            <w:shd w:val="clear" w:color="auto" w:fill="auto"/>
            <w:noWrap/>
            <w:vAlign w:val="center"/>
          </w:tcPr>
          <w:p w14:paraId="5903578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880</w:t>
            </w:r>
          </w:p>
        </w:tc>
        <w:tc>
          <w:tcPr>
            <w:tcW w:w="325" w:type="pct"/>
            <w:vMerge w:val="restart"/>
            <w:tcBorders>
              <w:top w:val="nil"/>
              <w:left w:val="single" w:color="000000" w:sz="8" w:space="0"/>
              <w:bottom w:val="single" w:color="000000" w:sz="8" w:space="0"/>
              <w:right w:val="single" w:color="000000" w:sz="8" w:space="0"/>
            </w:tcBorders>
            <w:shd w:val="clear" w:color="auto" w:fill="auto"/>
            <w:noWrap/>
            <w:vAlign w:val="center"/>
          </w:tcPr>
          <w:p w14:paraId="36E3D33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0.38%</w:t>
            </w:r>
          </w:p>
        </w:tc>
        <w:tc>
          <w:tcPr>
            <w:tcW w:w="1725" w:type="pct"/>
            <w:tcBorders>
              <w:top w:val="nil"/>
              <w:left w:val="single" w:color="000000" w:sz="8" w:space="0"/>
              <w:bottom w:val="nil"/>
              <w:right w:val="single" w:color="000000" w:sz="8" w:space="0"/>
            </w:tcBorders>
            <w:shd w:val="clear" w:color="auto" w:fill="auto"/>
            <w:vAlign w:val="center"/>
          </w:tcPr>
          <w:p w14:paraId="2254957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游泳馆前厅，男女更衣室，卫生间，救生员室，休息室等</w:t>
            </w:r>
          </w:p>
        </w:tc>
      </w:tr>
      <w:tr w14:paraId="0221C9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41D8A0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40C11F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8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480D4F3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A3D036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611E6EC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ABF020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0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63A6BAD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97" w:type="pct"/>
            <w:vMerge w:val="continue"/>
            <w:tcBorders>
              <w:top w:val="nil"/>
              <w:left w:val="single" w:color="000000" w:sz="8" w:space="0"/>
              <w:bottom w:val="single" w:color="000000" w:sz="8" w:space="0"/>
              <w:right w:val="single" w:color="000000" w:sz="8" w:space="0"/>
            </w:tcBorders>
            <w:shd w:val="clear" w:color="auto" w:fill="auto"/>
            <w:noWrap/>
            <w:vAlign w:val="center"/>
          </w:tcPr>
          <w:p w14:paraId="7ED427E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D83194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3C48B1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59430FC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含吊顶、墙面、地面。顶棚为无机涂料及乳胶漆、铝扣板吊顶；墙面为乳胶漆和瓷砖墙面；地面为地砖</w:t>
            </w:r>
          </w:p>
        </w:tc>
      </w:tr>
      <w:tr w14:paraId="073D27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vMerge w:val="restart"/>
            <w:tcBorders>
              <w:top w:val="nil"/>
              <w:left w:val="single" w:color="000000" w:sz="8" w:space="0"/>
              <w:bottom w:val="single" w:color="000000" w:sz="8" w:space="0"/>
              <w:right w:val="single" w:color="000000" w:sz="8" w:space="0"/>
            </w:tcBorders>
            <w:shd w:val="clear" w:color="auto" w:fill="auto"/>
            <w:noWrap/>
            <w:vAlign w:val="center"/>
          </w:tcPr>
          <w:p w14:paraId="666399E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03297C7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标准篮球场</w:t>
            </w:r>
          </w:p>
        </w:tc>
        <w:tc>
          <w:tcPr>
            <w:tcW w:w="281" w:type="pct"/>
            <w:vMerge w:val="restart"/>
            <w:tcBorders>
              <w:top w:val="nil"/>
              <w:left w:val="single" w:color="000000" w:sz="8" w:space="0"/>
              <w:bottom w:val="single" w:color="000000" w:sz="8" w:space="0"/>
              <w:right w:val="single" w:color="000000" w:sz="8" w:space="0"/>
            </w:tcBorders>
            <w:shd w:val="clear" w:color="auto" w:fill="auto"/>
            <w:noWrap/>
            <w:vAlign w:val="center"/>
          </w:tcPr>
          <w:p w14:paraId="61AADE9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431.14</w:t>
            </w:r>
          </w:p>
        </w:tc>
        <w:tc>
          <w:tcPr>
            <w:tcW w:w="228" w:type="pct"/>
            <w:vMerge w:val="restart"/>
            <w:tcBorders>
              <w:top w:val="nil"/>
              <w:left w:val="single" w:color="000000" w:sz="8" w:space="0"/>
              <w:bottom w:val="single" w:color="000000" w:sz="8" w:space="0"/>
              <w:right w:val="single" w:color="000000" w:sz="8" w:space="0"/>
            </w:tcBorders>
            <w:shd w:val="clear" w:color="auto" w:fill="auto"/>
            <w:noWrap/>
            <w:vAlign w:val="center"/>
          </w:tcPr>
          <w:p w14:paraId="76A7041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restart"/>
            <w:tcBorders>
              <w:top w:val="nil"/>
              <w:left w:val="single" w:color="000000" w:sz="8" w:space="0"/>
              <w:bottom w:val="single" w:color="000000" w:sz="8" w:space="0"/>
              <w:right w:val="single" w:color="000000" w:sz="8" w:space="0"/>
            </w:tcBorders>
            <w:shd w:val="clear" w:color="auto" w:fill="auto"/>
            <w:noWrap/>
            <w:vAlign w:val="center"/>
          </w:tcPr>
          <w:p w14:paraId="1E8DCDC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2176C29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431.14</w:t>
            </w:r>
          </w:p>
        </w:tc>
        <w:tc>
          <w:tcPr>
            <w:tcW w:w="201" w:type="pct"/>
            <w:vMerge w:val="restart"/>
            <w:tcBorders>
              <w:top w:val="nil"/>
              <w:left w:val="single" w:color="000000" w:sz="8" w:space="0"/>
              <w:bottom w:val="single" w:color="000000" w:sz="8" w:space="0"/>
              <w:right w:val="single" w:color="000000" w:sz="8" w:space="0"/>
            </w:tcBorders>
            <w:shd w:val="clear" w:color="auto" w:fill="auto"/>
            <w:noWrap/>
            <w:vAlign w:val="center"/>
          </w:tcPr>
          <w:p w14:paraId="5AB6968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vMerge w:val="restart"/>
            <w:tcBorders>
              <w:top w:val="nil"/>
              <w:left w:val="single" w:color="000000" w:sz="8" w:space="0"/>
              <w:bottom w:val="single" w:color="000000" w:sz="8" w:space="0"/>
              <w:right w:val="single" w:color="000000" w:sz="8" w:space="0"/>
            </w:tcBorders>
            <w:shd w:val="clear" w:color="auto" w:fill="auto"/>
            <w:noWrap/>
            <w:vAlign w:val="center"/>
          </w:tcPr>
          <w:p w14:paraId="419BDD7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2581.69</w:t>
            </w:r>
          </w:p>
        </w:tc>
        <w:tc>
          <w:tcPr>
            <w:tcW w:w="492" w:type="pct"/>
            <w:vMerge w:val="restart"/>
            <w:tcBorders>
              <w:top w:val="nil"/>
              <w:left w:val="single" w:color="000000" w:sz="8" w:space="0"/>
              <w:bottom w:val="single" w:color="000000" w:sz="8" w:space="0"/>
              <w:right w:val="single" w:color="000000" w:sz="8" w:space="0"/>
            </w:tcBorders>
            <w:shd w:val="clear" w:color="auto" w:fill="auto"/>
            <w:noWrap/>
            <w:vAlign w:val="center"/>
          </w:tcPr>
          <w:p w14:paraId="10FE494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1670</w:t>
            </w:r>
          </w:p>
        </w:tc>
        <w:tc>
          <w:tcPr>
            <w:tcW w:w="325" w:type="pct"/>
            <w:vMerge w:val="restart"/>
            <w:tcBorders>
              <w:top w:val="nil"/>
              <w:left w:val="single" w:color="000000" w:sz="8" w:space="0"/>
              <w:bottom w:val="single" w:color="000000" w:sz="8" w:space="0"/>
              <w:right w:val="single" w:color="000000" w:sz="8" w:space="0"/>
            </w:tcBorders>
            <w:shd w:val="clear" w:color="auto" w:fill="auto"/>
            <w:noWrap/>
            <w:vAlign w:val="center"/>
          </w:tcPr>
          <w:p w14:paraId="6FB4233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2.21%</w:t>
            </w:r>
          </w:p>
        </w:tc>
        <w:tc>
          <w:tcPr>
            <w:tcW w:w="1725" w:type="pct"/>
            <w:tcBorders>
              <w:top w:val="nil"/>
              <w:left w:val="single" w:color="000000" w:sz="8" w:space="0"/>
              <w:bottom w:val="nil"/>
              <w:right w:val="single" w:color="000000" w:sz="8" w:space="0"/>
            </w:tcBorders>
            <w:shd w:val="clear" w:color="auto" w:fill="auto"/>
            <w:vAlign w:val="center"/>
          </w:tcPr>
          <w:p w14:paraId="2FE3081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w:t>
            </w:r>
            <w:r>
              <w:rPr>
                <w:rFonts w:hint="default" w:ascii="Times New Roman" w:hAnsi="Times New Roman" w:eastAsia="宋体" w:cs="Times New Roman"/>
                <w:i w:val="0"/>
                <w:iCs w:val="0"/>
                <w:color w:val="000000"/>
                <w:kern w:val="0"/>
                <w:sz w:val="13"/>
                <w:szCs w:val="13"/>
                <w:u w:val="none"/>
                <w:lang w:val="en-US" w:eastAsia="zh-CN" w:bidi="ar"/>
              </w:rPr>
              <w:t>个，预留活动座椅</w:t>
            </w:r>
            <w:r>
              <w:rPr>
                <w:rFonts w:hint="default" w:ascii="Times New Roman" w:hAnsi="Times New Roman" w:eastAsia="等线" w:cs="Times New Roman"/>
                <w:i w:val="0"/>
                <w:iCs w:val="0"/>
                <w:color w:val="000000"/>
                <w:kern w:val="0"/>
                <w:sz w:val="13"/>
                <w:szCs w:val="13"/>
                <w:u w:val="none"/>
                <w:lang w:val="en-US" w:eastAsia="zh-CN" w:bidi="ar"/>
              </w:rPr>
              <w:t>2000</w:t>
            </w:r>
            <w:r>
              <w:rPr>
                <w:rFonts w:hint="default" w:ascii="Times New Roman" w:hAnsi="Times New Roman" w:eastAsia="宋体" w:cs="Times New Roman"/>
                <w:i w:val="0"/>
                <w:iCs w:val="0"/>
                <w:color w:val="000000"/>
                <w:kern w:val="0"/>
                <w:sz w:val="13"/>
                <w:szCs w:val="13"/>
                <w:u w:val="none"/>
                <w:lang w:val="en-US" w:eastAsia="zh-CN" w:bidi="ar"/>
              </w:rPr>
              <w:t>座，平赛结合（篮球、羽毛球、排球、乒乓球比赛等）</w:t>
            </w:r>
          </w:p>
        </w:tc>
      </w:tr>
      <w:tr w14:paraId="0D0608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F12CCA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6849654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8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2EB2E95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CB7881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41ED9B0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0AE7DE4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0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4F188A7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97"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8E04B3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E01821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vMerge w:val="continue"/>
            <w:tcBorders>
              <w:top w:val="nil"/>
              <w:left w:val="single" w:color="000000" w:sz="8" w:space="0"/>
              <w:bottom w:val="single" w:color="000000" w:sz="8" w:space="0"/>
              <w:right w:val="single" w:color="000000" w:sz="8" w:space="0"/>
            </w:tcBorders>
            <w:shd w:val="clear" w:color="auto" w:fill="auto"/>
            <w:noWrap/>
            <w:vAlign w:val="center"/>
          </w:tcPr>
          <w:p w14:paraId="6EA7091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17A1FBC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地面运动木地板、墙面吸声板、顶面空间吸声体</w:t>
            </w:r>
          </w:p>
        </w:tc>
      </w:tr>
      <w:tr w14:paraId="17A29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vMerge w:val="restart"/>
            <w:tcBorders>
              <w:top w:val="nil"/>
              <w:left w:val="single" w:color="000000" w:sz="8" w:space="0"/>
              <w:bottom w:val="single" w:color="000000" w:sz="8" w:space="0"/>
              <w:right w:val="single" w:color="000000" w:sz="8" w:space="0"/>
            </w:tcBorders>
            <w:shd w:val="clear" w:color="auto" w:fill="auto"/>
            <w:noWrap/>
            <w:vAlign w:val="center"/>
          </w:tcPr>
          <w:p w14:paraId="1015DDF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001D861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篮球配套功能区</w:t>
            </w:r>
          </w:p>
        </w:tc>
        <w:tc>
          <w:tcPr>
            <w:tcW w:w="281" w:type="pct"/>
            <w:vMerge w:val="restart"/>
            <w:tcBorders>
              <w:top w:val="nil"/>
              <w:left w:val="single" w:color="000000" w:sz="8" w:space="0"/>
              <w:bottom w:val="single" w:color="000000" w:sz="8" w:space="0"/>
              <w:right w:val="single" w:color="000000" w:sz="8" w:space="0"/>
            </w:tcBorders>
            <w:shd w:val="clear" w:color="auto" w:fill="auto"/>
            <w:noWrap/>
            <w:vAlign w:val="center"/>
          </w:tcPr>
          <w:p w14:paraId="67A4A4B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37.06</w:t>
            </w:r>
          </w:p>
        </w:tc>
        <w:tc>
          <w:tcPr>
            <w:tcW w:w="228" w:type="pct"/>
            <w:vMerge w:val="restart"/>
            <w:tcBorders>
              <w:top w:val="nil"/>
              <w:left w:val="single" w:color="000000" w:sz="8" w:space="0"/>
              <w:bottom w:val="single" w:color="000000" w:sz="8" w:space="0"/>
              <w:right w:val="single" w:color="000000" w:sz="8" w:space="0"/>
            </w:tcBorders>
            <w:shd w:val="clear" w:color="auto" w:fill="auto"/>
            <w:noWrap/>
            <w:vAlign w:val="center"/>
          </w:tcPr>
          <w:p w14:paraId="7A102A2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restart"/>
            <w:tcBorders>
              <w:top w:val="nil"/>
              <w:left w:val="single" w:color="000000" w:sz="8" w:space="0"/>
              <w:bottom w:val="single" w:color="000000" w:sz="8" w:space="0"/>
              <w:right w:val="single" w:color="000000" w:sz="8" w:space="0"/>
            </w:tcBorders>
            <w:shd w:val="clear" w:color="auto" w:fill="auto"/>
            <w:noWrap/>
            <w:vAlign w:val="center"/>
          </w:tcPr>
          <w:p w14:paraId="1C197FF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209E846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37.06</w:t>
            </w:r>
          </w:p>
        </w:tc>
        <w:tc>
          <w:tcPr>
            <w:tcW w:w="201" w:type="pct"/>
            <w:vMerge w:val="restart"/>
            <w:tcBorders>
              <w:top w:val="nil"/>
              <w:left w:val="single" w:color="000000" w:sz="8" w:space="0"/>
              <w:bottom w:val="single" w:color="000000" w:sz="8" w:space="0"/>
              <w:right w:val="single" w:color="000000" w:sz="8" w:space="0"/>
            </w:tcBorders>
            <w:shd w:val="clear" w:color="auto" w:fill="auto"/>
            <w:noWrap/>
            <w:vAlign w:val="center"/>
          </w:tcPr>
          <w:p w14:paraId="7F568C7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vMerge w:val="restart"/>
            <w:tcBorders>
              <w:top w:val="nil"/>
              <w:left w:val="single" w:color="000000" w:sz="8" w:space="0"/>
              <w:bottom w:val="single" w:color="000000" w:sz="8" w:space="0"/>
              <w:right w:val="single" w:color="000000" w:sz="8" w:space="0"/>
            </w:tcBorders>
            <w:shd w:val="clear" w:color="auto" w:fill="auto"/>
            <w:noWrap/>
            <w:vAlign w:val="center"/>
          </w:tcPr>
          <w:p w14:paraId="1183892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529.44</w:t>
            </w:r>
          </w:p>
        </w:tc>
        <w:tc>
          <w:tcPr>
            <w:tcW w:w="492" w:type="pct"/>
            <w:vMerge w:val="restart"/>
            <w:tcBorders>
              <w:top w:val="nil"/>
              <w:left w:val="single" w:color="000000" w:sz="8" w:space="0"/>
              <w:bottom w:val="single" w:color="000000" w:sz="8" w:space="0"/>
              <w:right w:val="single" w:color="000000" w:sz="8" w:space="0"/>
            </w:tcBorders>
            <w:shd w:val="clear" w:color="auto" w:fill="auto"/>
            <w:noWrap/>
            <w:vAlign w:val="center"/>
          </w:tcPr>
          <w:p w14:paraId="242F75F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700</w:t>
            </w:r>
          </w:p>
        </w:tc>
        <w:tc>
          <w:tcPr>
            <w:tcW w:w="325" w:type="pct"/>
            <w:vMerge w:val="restart"/>
            <w:tcBorders>
              <w:top w:val="nil"/>
              <w:left w:val="single" w:color="000000" w:sz="8" w:space="0"/>
              <w:bottom w:val="single" w:color="000000" w:sz="8" w:space="0"/>
              <w:right w:val="single" w:color="000000" w:sz="8" w:space="0"/>
            </w:tcBorders>
            <w:shd w:val="clear" w:color="auto" w:fill="auto"/>
            <w:noWrap/>
            <w:vAlign w:val="center"/>
          </w:tcPr>
          <w:p w14:paraId="216CD63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0.19%</w:t>
            </w:r>
          </w:p>
        </w:tc>
        <w:tc>
          <w:tcPr>
            <w:tcW w:w="1725" w:type="pct"/>
            <w:tcBorders>
              <w:top w:val="nil"/>
              <w:left w:val="single" w:color="000000" w:sz="8" w:space="0"/>
              <w:bottom w:val="nil"/>
              <w:right w:val="single" w:color="000000" w:sz="8" w:space="0"/>
            </w:tcBorders>
            <w:shd w:val="clear" w:color="auto" w:fill="auto"/>
            <w:vAlign w:val="center"/>
          </w:tcPr>
          <w:p w14:paraId="3965118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包含主客队更衣休息、器材室、工作人员休息室、控制室等</w:t>
            </w:r>
          </w:p>
        </w:tc>
      </w:tr>
      <w:tr w14:paraId="4570DB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vMerge w:val="continue"/>
            <w:tcBorders>
              <w:top w:val="nil"/>
              <w:left w:val="single" w:color="000000" w:sz="8" w:space="0"/>
              <w:bottom w:val="single" w:color="000000" w:sz="8" w:space="0"/>
              <w:right w:val="single" w:color="000000" w:sz="8" w:space="0"/>
            </w:tcBorders>
            <w:shd w:val="clear" w:color="auto" w:fill="auto"/>
            <w:noWrap/>
            <w:vAlign w:val="center"/>
          </w:tcPr>
          <w:p w14:paraId="7BA5937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69B38A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8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6ADE2EA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vMerge w:val="continue"/>
            <w:tcBorders>
              <w:top w:val="nil"/>
              <w:left w:val="single" w:color="000000" w:sz="8" w:space="0"/>
              <w:bottom w:val="single" w:color="000000" w:sz="8" w:space="0"/>
              <w:right w:val="single" w:color="000000" w:sz="8" w:space="0"/>
            </w:tcBorders>
            <w:shd w:val="clear" w:color="auto" w:fill="auto"/>
            <w:noWrap/>
            <w:vAlign w:val="center"/>
          </w:tcPr>
          <w:p w14:paraId="6F7AF16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4E4FD04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1EE88A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0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263B660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97"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C17E9F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B3682F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vMerge w:val="continue"/>
            <w:tcBorders>
              <w:top w:val="nil"/>
              <w:left w:val="single" w:color="000000" w:sz="8" w:space="0"/>
              <w:bottom w:val="single" w:color="000000" w:sz="8" w:space="0"/>
              <w:right w:val="single" w:color="000000" w:sz="8" w:space="0"/>
            </w:tcBorders>
            <w:shd w:val="clear" w:color="auto" w:fill="auto"/>
            <w:noWrap/>
            <w:vAlign w:val="center"/>
          </w:tcPr>
          <w:p w14:paraId="05448A1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79DB653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含吊顶、墙面、地面。顶棚为无机涂料及乳胶漆、铝扣板吊顶；墙面为乳胶漆和砖墙面；地面为地砖</w:t>
            </w:r>
          </w:p>
        </w:tc>
      </w:tr>
      <w:tr w14:paraId="5D78F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vMerge w:val="restart"/>
            <w:tcBorders>
              <w:top w:val="nil"/>
              <w:left w:val="single" w:color="000000" w:sz="8" w:space="0"/>
              <w:bottom w:val="single" w:color="000000" w:sz="8" w:space="0"/>
              <w:right w:val="single" w:color="000000" w:sz="8" w:space="0"/>
            </w:tcBorders>
            <w:shd w:val="clear" w:color="auto" w:fill="auto"/>
            <w:noWrap/>
            <w:vAlign w:val="center"/>
          </w:tcPr>
          <w:p w14:paraId="76A933A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059F34D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服务大厅</w:t>
            </w:r>
          </w:p>
        </w:tc>
        <w:tc>
          <w:tcPr>
            <w:tcW w:w="281" w:type="pct"/>
            <w:vMerge w:val="restart"/>
            <w:tcBorders>
              <w:top w:val="nil"/>
              <w:left w:val="single" w:color="000000" w:sz="8" w:space="0"/>
              <w:bottom w:val="single" w:color="000000" w:sz="8" w:space="0"/>
              <w:right w:val="single" w:color="000000" w:sz="8" w:space="0"/>
            </w:tcBorders>
            <w:shd w:val="clear" w:color="auto" w:fill="auto"/>
            <w:noWrap/>
            <w:vAlign w:val="center"/>
          </w:tcPr>
          <w:p w14:paraId="0D5A965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214.03</w:t>
            </w:r>
          </w:p>
        </w:tc>
        <w:tc>
          <w:tcPr>
            <w:tcW w:w="228" w:type="pct"/>
            <w:vMerge w:val="restart"/>
            <w:tcBorders>
              <w:top w:val="nil"/>
              <w:left w:val="single" w:color="000000" w:sz="8" w:space="0"/>
              <w:bottom w:val="single" w:color="000000" w:sz="8" w:space="0"/>
              <w:right w:val="single" w:color="000000" w:sz="8" w:space="0"/>
            </w:tcBorders>
            <w:shd w:val="clear" w:color="auto" w:fill="auto"/>
            <w:noWrap/>
            <w:vAlign w:val="center"/>
          </w:tcPr>
          <w:p w14:paraId="5943BE3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restart"/>
            <w:tcBorders>
              <w:top w:val="nil"/>
              <w:left w:val="single" w:color="000000" w:sz="8" w:space="0"/>
              <w:bottom w:val="single" w:color="000000" w:sz="8" w:space="0"/>
              <w:right w:val="single" w:color="000000" w:sz="8" w:space="0"/>
            </w:tcBorders>
            <w:shd w:val="clear" w:color="auto" w:fill="auto"/>
            <w:noWrap/>
            <w:vAlign w:val="center"/>
          </w:tcPr>
          <w:p w14:paraId="41C7C3D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2CB9C76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214.03</w:t>
            </w:r>
          </w:p>
        </w:tc>
        <w:tc>
          <w:tcPr>
            <w:tcW w:w="201" w:type="pct"/>
            <w:vMerge w:val="restart"/>
            <w:tcBorders>
              <w:top w:val="nil"/>
              <w:left w:val="single" w:color="000000" w:sz="8" w:space="0"/>
              <w:bottom w:val="single" w:color="000000" w:sz="8" w:space="0"/>
              <w:right w:val="single" w:color="000000" w:sz="8" w:space="0"/>
            </w:tcBorders>
            <w:shd w:val="clear" w:color="auto" w:fill="auto"/>
            <w:noWrap/>
            <w:vAlign w:val="center"/>
          </w:tcPr>
          <w:p w14:paraId="3B2DC05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vMerge w:val="restart"/>
            <w:tcBorders>
              <w:top w:val="nil"/>
              <w:left w:val="single" w:color="000000" w:sz="8" w:space="0"/>
              <w:bottom w:val="single" w:color="000000" w:sz="8" w:space="0"/>
              <w:right w:val="single" w:color="000000" w:sz="8" w:space="0"/>
            </w:tcBorders>
            <w:shd w:val="clear" w:color="auto" w:fill="auto"/>
            <w:noWrap/>
            <w:vAlign w:val="center"/>
          </w:tcPr>
          <w:p w14:paraId="06752D6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1126.45</w:t>
            </w:r>
          </w:p>
        </w:tc>
        <w:tc>
          <w:tcPr>
            <w:tcW w:w="492" w:type="pct"/>
            <w:vMerge w:val="restart"/>
            <w:tcBorders>
              <w:top w:val="nil"/>
              <w:left w:val="single" w:color="000000" w:sz="8" w:space="0"/>
              <w:bottom w:val="single" w:color="000000" w:sz="8" w:space="0"/>
              <w:right w:val="single" w:color="000000" w:sz="8" w:space="0"/>
            </w:tcBorders>
            <w:shd w:val="clear" w:color="auto" w:fill="auto"/>
            <w:noWrap/>
            <w:vAlign w:val="center"/>
          </w:tcPr>
          <w:p w14:paraId="3678A40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1900</w:t>
            </w:r>
          </w:p>
        </w:tc>
        <w:tc>
          <w:tcPr>
            <w:tcW w:w="325" w:type="pct"/>
            <w:vMerge w:val="restart"/>
            <w:tcBorders>
              <w:top w:val="nil"/>
              <w:left w:val="single" w:color="000000" w:sz="8" w:space="0"/>
              <w:bottom w:val="single" w:color="000000" w:sz="8" w:space="0"/>
              <w:right w:val="single" w:color="000000" w:sz="8" w:space="0"/>
            </w:tcBorders>
            <w:shd w:val="clear" w:color="auto" w:fill="auto"/>
            <w:noWrap/>
            <w:vAlign w:val="center"/>
          </w:tcPr>
          <w:p w14:paraId="642C968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1.09%</w:t>
            </w:r>
          </w:p>
        </w:tc>
        <w:tc>
          <w:tcPr>
            <w:tcW w:w="1725" w:type="pct"/>
            <w:tcBorders>
              <w:top w:val="nil"/>
              <w:left w:val="single" w:color="000000" w:sz="8" w:space="0"/>
              <w:bottom w:val="nil"/>
              <w:right w:val="single" w:color="000000" w:sz="8" w:space="0"/>
            </w:tcBorders>
            <w:shd w:val="clear" w:color="auto" w:fill="auto"/>
            <w:vAlign w:val="center"/>
          </w:tcPr>
          <w:p w14:paraId="750ABB9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包含服务咨询台、赛时观众前厅、平时工人文化红色展厅</w:t>
            </w:r>
          </w:p>
        </w:tc>
      </w:tr>
      <w:tr w14:paraId="528B86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675B5E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0294447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8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060DE63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2E5476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4805AD1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0402A78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0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7D731A5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97" w:type="pct"/>
            <w:vMerge w:val="continue"/>
            <w:tcBorders>
              <w:top w:val="nil"/>
              <w:left w:val="single" w:color="000000" w:sz="8" w:space="0"/>
              <w:bottom w:val="single" w:color="000000" w:sz="8" w:space="0"/>
              <w:right w:val="single" w:color="000000" w:sz="8" w:space="0"/>
            </w:tcBorders>
            <w:shd w:val="clear" w:color="auto" w:fill="auto"/>
            <w:noWrap/>
            <w:vAlign w:val="center"/>
          </w:tcPr>
          <w:p w14:paraId="49212A7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00B9592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A1CA8D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65D3392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含吊顶、墙面、地面。顶棚为无机涂料及乳胶漆；墙面为乳胶漆和砖墙面；地面为地砖</w:t>
            </w:r>
          </w:p>
        </w:tc>
      </w:tr>
      <w:tr w14:paraId="3D87A3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vMerge w:val="restart"/>
            <w:tcBorders>
              <w:top w:val="nil"/>
              <w:left w:val="single" w:color="000000" w:sz="8" w:space="0"/>
              <w:bottom w:val="single" w:color="000000" w:sz="8" w:space="0"/>
              <w:right w:val="single" w:color="000000" w:sz="8" w:space="0"/>
            </w:tcBorders>
            <w:shd w:val="clear" w:color="auto" w:fill="auto"/>
            <w:noWrap/>
            <w:vAlign w:val="center"/>
          </w:tcPr>
          <w:p w14:paraId="1D6D048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1EBE1AD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综合训练场</w:t>
            </w:r>
          </w:p>
        </w:tc>
        <w:tc>
          <w:tcPr>
            <w:tcW w:w="281" w:type="pct"/>
            <w:vMerge w:val="restart"/>
            <w:tcBorders>
              <w:top w:val="nil"/>
              <w:left w:val="single" w:color="000000" w:sz="8" w:space="0"/>
              <w:bottom w:val="single" w:color="000000" w:sz="8" w:space="0"/>
              <w:right w:val="single" w:color="000000" w:sz="8" w:space="0"/>
            </w:tcBorders>
            <w:shd w:val="clear" w:color="auto" w:fill="auto"/>
            <w:noWrap/>
            <w:vAlign w:val="center"/>
          </w:tcPr>
          <w:p w14:paraId="7CADD0B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333.22</w:t>
            </w:r>
          </w:p>
        </w:tc>
        <w:tc>
          <w:tcPr>
            <w:tcW w:w="228" w:type="pct"/>
            <w:vMerge w:val="restart"/>
            <w:tcBorders>
              <w:top w:val="nil"/>
              <w:left w:val="single" w:color="000000" w:sz="8" w:space="0"/>
              <w:bottom w:val="single" w:color="000000" w:sz="8" w:space="0"/>
              <w:right w:val="single" w:color="000000" w:sz="8" w:space="0"/>
            </w:tcBorders>
            <w:shd w:val="clear" w:color="auto" w:fill="auto"/>
            <w:noWrap/>
            <w:vAlign w:val="center"/>
          </w:tcPr>
          <w:p w14:paraId="375E2A1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restart"/>
            <w:tcBorders>
              <w:top w:val="nil"/>
              <w:left w:val="single" w:color="000000" w:sz="8" w:space="0"/>
              <w:bottom w:val="single" w:color="000000" w:sz="8" w:space="0"/>
              <w:right w:val="single" w:color="000000" w:sz="8" w:space="0"/>
            </w:tcBorders>
            <w:shd w:val="clear" w:color="auto" w:fill="auto"/>
            <w:noWrap/>
            <w:vAlign w:val="center"/>
          </w:tcPr>
          <w:p w14:paraId="6389D7B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59FEA71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333.22</w:t>
            </w:r>
          </w:p>
        </w:tc>
        <w:tc>
          <w:tcPr>
            <w:tcW w:w="201" w:type="pct"/>
            <w:vMerge w:val="restart"/>
            <w:tcBorders>
              <w:top w:val="nil"/>
              <w:left w:val="single" w:color="000000" w:sz="8" w:space="0"/>
              <w:bottom w:val="single" w:color="000000" w:sz="8" w:space="0"/>
              <w:right w:val="single" w:color="000000" w:sz="8" w:space="0"/>
            </w:tcBorders>
            <w:shd w:val="clear" w:color="auto" w:fill="auto"/>
            <w:noWrap/>
            <w:vAlign w:val="center"/>
          </w:tcPr>
          <w:p w14:paraId="31B0786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vMerge w:val="restart"/>
            <w:tcBorders>
              <w:top w:val="nil"/>
              <w:left w:val="single" w:color="000000" w:sz="8" w:space="0"/>
              <w:bottom w:val="single" w:color="000000" w:sz="8" w:space="0"/>
              <w:right w:val="single" w:color="000000" w:sz="8" w:space="0"/>
            </w:tcBorders>
            <w:shd w:val="clear" w:color="auto" w:fill="auto"/>
            <w:noWrap/>
            <w:vAlign w:val="center"/>
          </w:tcPr>
          <w:p w14:paraId="14CCECE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2044.28</w:t>
            </w:r>
          </w:p>
        </w:tc>
        <w:tc>
          <w:tcPr>
            <w:tcW w:w="492" w:type="pct"/>
            <w:vMerge w:val="restart"/>
            <w:tcBorders>
              <w:top w:val="nil"/>
              <w:left w:val="single" w:color="000000" w:sz="8" w:space="0"/>
              <w:bottom w:val="single" w:color="000000" w:sz="8" w:space="0"/>
              <w:right w:val="single" w:color="000000" w:sz="8" w:space="0"/>
            </w:tcBorders>
            <w:shd w:val="clear" w:color="auto" w:fill="auto"/>
            <w:noWrap/>
            <w:vAlign w:val="center"/>
          </w:tcPr>
          <w:p w14:paraId="27DC271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1630</w:t>
            </w:r>
          </w:p>
        </w:tc>
        <w:tc>
          <w:tcPr>
            <w:tcW w:w="325" w:type="pct"/>
            <w:vMerge w:val="restart"/>
            <w:tcBorders>
              <w:top w:val="nil"/>
              <w:left w:val="single" w:color="000000" w:sz="8" w:space="0"/>
              <w:bottom w:val="single" w:color="000000" w:sz="8" w:space="0"/>
              <w:right w:val="single" w:color="000000" w:sz="8" w:space="0"/>
            </w:tcBorders>
            <w:shd w:val="clear" w:color="auto" w:fill="auto"/>
            <w:noWrap/>
            <w:vAlign w:val="center"/>
          </w:tcPr>
          <w:p w14:paraId="39A874E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1.70%</w:t>
            </w:r>
          </w:p>
        </w:tc>
        <w:tc>
          <w:tcPr>
            <w:tcW w:w="1725" w:type="pct"/>
            <w:tcBorders>
              <w:top w:val="nil"/>
              <w:left w:val="single" w:color="000000" w:sz="8" w:space="0"/>
              <w:bottom w:val="nil"/>
              <w:right w:val="single" w:color="000000" w:sz="8" w:space="0"/>
            </w:tcBorders>
            <w:shd w:val="clear" w:color="auto" w:fill="auto"/>
            <w:vAlign w:val="center"/>
          </w:tcPr>
          <w:p w14:paraId="33894EA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包含1个网球场、1个小篮球场、6个羽毛球场</w:t>
            </w:r>
          </w:p>
        </w:tc>
      </w:tr>
      <w:tr w14:paraId="0B4806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939EF3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9BEEFB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8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BC4F08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vMerge w:val="continue"/>
            <w:tcBorders>
              <w:top w:val="nil"/>
              <w:left w:val="single" w:color="000000" w:sz="8" w:space="0"/>
              <w:bottom w:val="single" w:color="000000" w:sz="8" w:space="0"/>
              <w:right w:val="single" w:color="000000" w:sz="8" w:space="0"/>
            </w:tcBorders>
            <w:shd w:val="clear" w:color="auto" w:fill="auto"/>
            <w:noWrap/>
            <w:vAlign w:val="center"/>
          </w:tcPr>
          <w:p w14:paraId="71CBBD6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9F06AE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DFE210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0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2FEA7F7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97" w:type="pct"/>
            <w:vMerge w:val="continue"/>
            <w:tcBorders>
              <w:top w:val="nil"/>
              <w:left w:val="single" w:color="000000" w:sz="8" w:space="0"/>
              <w:bottom w:val="single" w:color="000000" w:sz="8" w:space="0"/>
              <w:right w:val="single" w:color="000000" w:sz="8" w:space="0"/>
            </w:tcBorders>
            <w:shd w:val="clear" w:color="auto" w:fill="auto"/>
            <w:noWrap/>
            <w:vAlign w:val="center"/>
          </w:tcPr>
          <w:p w14:paraId="07417BC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B1D25D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vMerge w:val="continue"/>
            <w:tcBorders>
              <w:top w:val="nil"/>
              <w:left w:val="single" w:color="000000" w:sz="8" w:space="0"/>
              <w:bottom w:val="single" w:color="000000" w:sz="8" w:space="0"/>
              <w:right w:val="single" w:color="000000" w:sz="8" w:space="0"/>
            </w:tcBorders>
            <w:shd w:val="clear" w:color="auto" w:fill="auto"/>
            <w:noWrap/>
            <w:vAlign w:val="center"/>
          </w:tcPr>
          <w:p w14:paraId="7B67F21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34951BB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地面PVC地胶、墙面吸声板、顶棚空间吸声体</w:t>
            </w:r>
          </w:p>
        </w:tc>
      </w:tr>
      <w:tr w14:paraId="2647D5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vMerge w:val="restart"/>
            <w:tcBorders>
              <w:top w:val="nil"/>
              <w:left w:val="single" w:color="000000" w:sz="8" w:space="0"/>
              <w:bottom w:val="single" w:color="000000" w:sz="8" w:space="0"/>
              <w:right w:val="single" w:color="000000" w:sz="8" w:space="0"/>
            </w:tcBorders>
            <w:shd w:val="clear" w:color="auto" w:fill="auto"/>
            <w:noWrap/>
            <w:vAlign w:val="center"/>
          </w:tcPr>
          <w:p w14:paraId="73DC783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4F687C9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乒乓球室</w:t>
            </w:r>
          </w:p>
        </w:tc>
        <w:tc>
          <w:tcPr>
            <w:tcW w:w="281" w:type="pct"/>
            <w:vMerge w:val="restart"/>
            <w:tcBorders>
              <w:top w:val="nil"/>
              <w:left w:val="single" w:color="000000" w:sz="8" w:space="0"/>
              <w:bottom w:val="single" w:color="000000" w:sz="8" w:space="0"/>
              <w:right w:val="single" w:color="000000" w:sz="8" w:space="0"/>
            </w:tcBorders>
            <w:shd w:val="clear" w:color="auto" w:fill="auto"/>
            <w:noWrap/>
            <w:vAlign w:val="center"/>
          </w:tcPr>
          <w:p w14:paraId="76C4809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21.44</w:t>
            </w:r>
          </w:p>
        </w:tc>
        <w:tc>
          <w:tcPr>
            <w:tcW w:w="228" w:type="pct"/>
            <w:vMerge w:val="restart"/>
            <w:tcBorders>
              <w:top w:val="nil"/>
              <w:left w:val="single" w:color="000000" w:sz="8" w:space="0"/>
              <w:bottom w:val="single" w:color="000000" w:sz="8" w:space="0"/>
              <w:right w:val="single" w:color="000000" w:sz="8" w:space="0"/>
            </w:tcBorders>
            <w:shd w:val="clear" w:color="auto" w:fill="auto"/>
            <w:noWrap/>
            <w:vAlign w:val="center"/>
          </w:tcPr>
          <w:p w14:paraId="0033F91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restart"/>
            <w:tcBorders>
              <w:top w:val="nil"/>
              <w:left w:val="single" w:color="000000" w:sz="8" w:space="0"/>
              <w:bottom w:val="single" w:color="000000" w:sz="8" w:space="0"/>
              <w:right w:val="single" w:color="000000" w:sz="8" w:space="0"/>
            </w:tcBorders>
            <w:shd w:val="clear" w:color="auto" w:fill="auto"/>
            <w:noWrap/>
            <w:vAlign w:val="center"/>
          </w:tcPr>
          <w:p w14:paraId="0ED064E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6E36B93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21.44</w:t>
            </w:r>
          </w:p>
        </w:tc>
        <w:tc>
          <w:tcPr>
            <w:tcW w:w="201" w:type="pct"/>
            <w:vMerge w:val="restart"/>
            <w:tcBorders>
              <w:top w:val="nil"/>
              <w:left w:val="single" w:color="000000" w:sz="8" w:space="0"/>
              <w:bottom w:val="single" w:color="000000" w:sz="8" w:space="0"/>
              <w:right w:val="single" w:color="000000" w:sz="8" w:space="0"/>
            </w:tcBorders>
            <w:shd w:val="clear" w:color="auto" w:fill="auto"/>
            <w:noWrap/>
            <w:vAlign w:val="center"/>
          </w:tcPr>
          <w:p w14:paraId="3D4691E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vMerge w:val="restart"/>
            <w:tcBorders>
              <w:top w:val="nil"/>
              <w:left w:val="single" w:color="000000" w:sz="8" w:space="0"/>
              <w:bottom w:val="single" w:color="000000" w:sz="8" w:space="0"/>
              <w:right w:val="single" w:color="000000" w:sz="8" w:space="0"/>
            </w:tcBorders>
            <w:shd w:val="clear" w:color="auto" w:fill="auto"/>
            <w:noWrap/>
            <w:vAlign w:val="center"/>
          </w:tcPr>
          <w:p w14:paraId="7C78265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243.6</w:t>
            </w:r>
          </w:p>
        </w:tc>
        <w:tc>
          <w:tcPr>
            <w:tcW w:w="492" w:type="pct"/>
            <w:vMerge w:val="restart"/>
            <w:tcBorders>
              <w:top w:val="nil"/>
              <w:left w:val="single" w:color="000000" w:sz="8" w:space="0"/>
              <w:bottom w:val="single" w:color="000000" w:sz="8" w:space="0"/>
              <w:right w:val="single" w:color="000000" w:sz="8" w:space="0"/>
            </w:tcBorders>
            <w:shd w:val="clear" w:color="auto" w:fill="auto"/>
            <w:noWrap/>
            <w:vAlign w:val="center"/>
          </w:tcPr>
          <w:p w14:paraId="4EF4EEB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880</w:t>
            </w:r>
          </w:p>
        </w:tc>
        <w:tc>
          <w:tcPr>
            <w:tcW w:w="325" w:type="pct"/>
            <w:vMerge w:val="restart"/>
            <w:tcBorders>
              <w:top w:val="nil"/>
              <w:left w:val="single" w:color="000000" w:sz="8" w:space="0"/>
              <w:bottom w:val="single" w:color="000000" w:sz="8" w:space="0"/>
              <w:right w:val="single" w:color="000000" w:sz="8" w:space="0"/>
            </w:tcBorders>
            <w:shd w:val="clear" w:color="auto" w:fill="auto"/>
            <w:noWrap/>
            <w:vAlign w:val="center"/>
          </w:tcPr>
          <w:p w14:paraId="75877C4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0.11%</w:t>
            </w:r>
          </w:p>
        </w:tc>
        <w:tc>
          <w:tcPr>
            <w:tcW w:w="1725" w:type="pct"/>
            <w:tcBorders>
              <w:top w:val="nil"/>
              <w:left w:val="single" w:color="000000" w:sz="8" w:space="0"/>
              <w:bottom w:val="nil"/>
              <w:right w:val="single" w:color="000000" w:sz="8" w:space="0"/>
            </w:tcBorders>
            <w:shd w:val="clear" w:color="auto" w:fill="auto"/>
            <w:vAlign w:val="center"/>
          </w:tcPr>
          <w:p w14:paraId="3857AF1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包含6个乒乓球训练场地</w:t>
            </w:r>
          </w:p>
        </w:tc>
      </w:tr>
      <w:tr w14:paraId="74B2A5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vMerge w:val="continue"/>
            <w:tcBorders>
              <w:top w:val="nil"/>
              <w:left w:val="single" w:color="000000" w:sz="8" w:space="0"/>
              <w:bottom w:val="single" w:color="000000" w:sz="8" w:space="0"/>
              <w:right w:val="single" w:color="000000" w:sz="8" w:space="0"/>
            </w:tcBorders>
            <w:shd w:val="clear" w:color="auto" w:fill="auto"/>
            <w:noWrap/>
            <w:vAlign w:val="center"/>
          </w:tcPr>
          <w:p w14:paraId="0586A82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27E2167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8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A41CC7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09CFE5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B176D7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013F0C1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0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0D2F36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97"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659834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1F8240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vMerge w:val="continue"/>
            <w:tcBorders>
              <w:top w:val="nil"/>
              <w:left w:val="single" w:color="000000" w:sz="8" w:space="0"/>
              <w:bottom w:val="single" w:color="000000" w:sz="8" w:space="0"/>
              <w:right w:val="single" w:color="000000" w:sz="8" w:space="0"/>
            </w:tcBorders>
            <w:shd w:val="clear" w:color="auto" w:fill="auto"/>
            <w:noWrap/>
            <w:vAlign w:val="center"/>
          </w:tcPr>
          <w:p w14:paraId="4DE2242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363D391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地面地胶、墙面乳胶漆、顶棚乳胶漆</w:t>
            </w:r>
          </w:p>
        </w:tc>
      </w:tr>
      <w:tr w14:paraId="34011E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vMerge w:val="restart"/>
            <w:tcBorders>
              <w:top w:val="nil"/>
              <w:left w:val="single" w:color="000000" w:sz="8" w:space="0"/>
              <w:bottom w:val="single" w:color="000000" w:sz="8" w:space="0"/>
              <w:right w:val="single" w:color="000000" w:sz="8" w:space="0"/>
            </w:tcBorders>
            <w:shd w:val="clear" w:color="auto" w:fill="auto"/>
            <w:noWrap/>
            <w:vAlign w:val="center"/>
          </w:tcPr>
          <w:p w14:paraId="46E1587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6048EB9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健身中心</w:t>
            </w:r>
          </w:p>
        </w:tc>
        <w:tc>
          <w:tcPr>
            <w:tcW w:w="281" w:type="pct"/>
            <w:vMerge w:val="restart"/>
            <w:tcBorders>
              <w:top w:val="nil"/>
              <w:left w:val="single" w:color="000000" w:sz="8" w:space="0"/>
              <w:bottom w:val="single" w:color="000000" w:sz="8" w:space="0"/>
              <w:right w:val="single" w:color="000000" w:sz="8" w:space="0"/>
            </w:tcBorders>
            <w:shd w:val="clear" w:color="auto" w:fill="auto"/>
            <w:noWrap/>
            <w:vAlign w:val="center"/>
          </w:tcPr>
          <w:p w14:paraId="375F6D8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56.93</w:t>
            </w:r>
          </w:p>
        </w:tc>
        <w:tc>
          <w:tcPr>
            <w:tcW w:w="228" w:type="pct"/>
            <w:vMerge w:val="restart"/>
            <w:tcBorders>
              <w:top w:val="nil"/>
              <w:left w:val="single" w:color="000000" w:sz="8" w:space="0"/>
              <w:bottom w:val="single" w:color="000000" w:sz="8" w:space="0"/>
              <w:right w:val="single" w:color="000000" w:sz="8" w:space="0"/>
            </w:tcBorders>
            <w:shd w:val="clear" w:color="auto" w:fill="auto"/>
            <w:noWrap/>
            <w:vAlign w:val="center"/>
          </w:tcPr>
          <w:p w14:paraId="55EF39D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restart"/>
            <w:tcBorders>
              <w:top w:val="nil"/>
              <w:left w:val="single" w:color="000000" w:sz="8" w:space="0"/>
              <w:bottom w:val="single" w:color="000000" w:sz="8" w:space="0"/>
              <w:right w:val="single" w:color="000000" w:sz="8" w:space="0"/>
            </w:tcBorders>
            <w:shd w:val="clear" w:color="auto" w:fill="auto"/>
            <w:noWrap/>
            <w:vAlign w:val="center"/>
          </w:tcPr>
          <w:p w14:paraId="73CF370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521A1AC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56.93</w:t>
            </w:r>
          </w:p>
        </w:tc>
        <w:tc>
          <w:tcPr>
            <w:tcW w:w="201" w:type="pct"/>
            <w:vMerge w:val="restart"/>
            <w:tcBorders>
              <w:top w:val="nil"/>
              <w:left w:val="single" w:color="000000" w:sz="8" w:space="0"/>
              <w:bottom w:val="single" w:color="000000" w:sz="8" w:space="0"/>
              <w:right w:val="single" w:color="000000" w:sz="8" w:space="0"/>
            </w:tcBorders>
            <w:shd w:val="clear" w:color="auto" w:fill="auto"/>
            <w:noWrap/>
            <w:vAlign w:val="center"/>
          </w:tcPr>
          <w:p w14:paraId="0585263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vMerge w:val="restart"/>
            <w:tcBorders>
              <w:top w:val="nil"/>
              <w:left w:val="single" w:color="000000" w:sz="8" w:space="0"/>
              <w:bottom w:val="single" w:color="000000" w:sz="8" w:space="0"/>
              <w:right w:val="single" w:color="000000" w:sz="8" w:space="0"/>
            </w:tcBorders>
            <w:shd w:val="clear" w:color="auto" w:fill="auto"/>
            <w:noWrap/>
            <w:vAlign w:val="center"/>
          </w:tcPr>
          <w:p w14:paraId="4BC546E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685.89</w:t>
            </w:r>
          </w:p>
        </w:tc>
        <w:tc>
          <w:tcPr>
            <w:tcW w:w="492" w:type="pct"/>
            <w:vMerge w:val="restart"/>
            <w:tcBorders>
              <w:top w:val="nil"/>
              <w:left w:val="single" w:color="000000" w:sz="8" w:space="0"/>
              <w:bottom w:val="single" w:color="000000" w:sz="8" w:space="0"/>
              <w:right w:val="single" w:color="000000" w:sz="8" w:space="0"/>
            </w:tcBorders>
            <w:shd w:val="clear" w:color="auto" w:fill="auto"/>
            <w:noWrap/>
            <w:vAlign w:val="center"/>
          </w:tcPr>
          <w:p w14:paraId="6AC2F93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830</w:t>
            </w:r>
          </w:p>
        </w:tc>
        <w:tc>
          <w:tcPr>
            <w:tcW w:w="325" w:type="pct"/>
            <w:vMerge w:val="restart"/>
            <w:tcBorders>
              <w:top w:val="nil"/>
              <w:left w:val="single" w:color="000000" w:sz="8" w:space="0"/>
              <w:bottom w:val="single" w:color="000000" w:sz="8" w:space="0"/>
              <w:right w:val="single" w:color="000000" w:sz="8" w:space="0"/>
            </w:tcBorders>
            <w:shd w:val="clear" w:color="auto" w:fill="auto"/>
            <w:noWrap/>
            <w:vAlign w:val="center"/>
          </w:tcPr>
          <w:p w14:paraId="642034C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0.29%</w:t>
            </w:r>
          </w:p>
        </w:tc>
        <w:tc>
          <w:tcPr>
            <w:tcW w:w="1725" w:type="pct"/>
            <w:tcBorders>
              <w:top w:val="nil"/>
              <w:left w:val="single" w:color="000000" w:sz="8" w:space="0"/>
              <w:bottom w:val="nil"/>
              <w:right w:val="single" w:color="000000" w:sz="8" w:space="0"/>
            </w:tcBorders>
            <w:shd w:val="clear" w:color="auto" w:fill="auto"/>
            <w:vAlign w:val="center"/>
          </w:tcPr>
          <w:p w14:paraId="4CA04FC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包含器械训练、体能训练、男女更衣室等</w:t>
            </w:r>
          </w:p>
        </w:tc>
      </w:tr>
      <w:tr w14:paraId="2FC8F5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vMerge w:val="continue"/>
            <w:tcBorders>
              <w:top w:val="nil"/>
              <w:left w:val="single" w:color="000000" w:sz="8" w:space="0"/>
              <w:bottom w:val="single" w:color="000000" w:sz="8" w:space="0"/>
              <w:right w:val="single" w:color="000000" w:sz="8" w:space="0"/>
            </w:tcBorders>
            <w:shd w:val="clear" w:color="auto" w:fill="auto"/>
            <w:noWrap/>
            <w:vAlign w:val="center"/>
          </w:tcPr>
          <w:p w14:paraId="71033D3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17BF17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8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448671E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vMerge w:val="continue"/>
            <w:tcBorders>
              <w:top w:val="nil"/>
              <w:left w:val="single" w:color="000000" w:sz="8" w:space="0"/>
              <w:bottom w:val="single" w:color="000000" w:sz="8" w:space="0"/>
              <w:right w:val="single" w:color="000000" w:sz="8" w:space="0"/>
            </w:tcBorders>
            <w:shd w:val="clear" w:color="auto" w:fill="auto"/>
            <w:noWrap/>
            <w:vAlign w:val="center"/>
          </w:tcPr>
          <w:p w14:paraId="065D4E1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7B5B11C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C24608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0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B2E62C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97"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A7E668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E53E35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E979E9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342C7EB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地面地胶、墙面乳胶漆、顶棚乳胶漆</w:t>
            </w:r>
          </w:p>
        </w:tc>
      </w:tr>
      <w:tr w14:paraId="468572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vMerge w:val="restart"/>
            <w:tcBorders>
              <w:top w:val="nil"/>
              <w:left w:val="single" w:color="000000" w:sz="8" w:space="0"/>
              <w:bottom w:val="single" w:color="000000" w:sz="8" w:space="0"/>
              <w:right w:val="single" w:color="000000" w:sz="8" w:space="0"/>
            </w:tcBorders>
            <w:shd w:val="clear" w:color="auto" w:fill="auto"/>
            <w:noWrap/>
            <w:vAlign w:val="center"/>
          </w:tcPr>
          <w:p w14:paraId="09729A8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51C836A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特殊人员门厅</w:t>
            </w:r>
          </w:p>
        </w:tc>
        <w:tc>
          <w:tcPr>
            <w:tcW w:w="281" w:type="pct"/>
            <w:vMerge w:val="restart"/>
            <w:tcBorders>
              <w:top w:val="nil"/>
              <w:left w:val="single" w:color="000000" w:sz="8" w:space="0"/>
              <w:bottom w:val="single" w:color="000000" w:sz="8" w:space="0"/>
              <w:right w:val="single" w:color="000000" w:sz="8" w:space="0"/>
            </w:tcBorders>
            <w:shd w:val="clear" w:color="auto" w:fill="auto"/>
            <w:noWrap/>
            <w:vAlign w:val="center"/>
          </w:tcPr>
          <w:p w14:paraId="1662240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10.3</w:t>
            </w:r>
          </w:p>
        </w:tc>
        <w:tc>
          <w:tcPr>
            <w:tcW w:w="228" w:type="pct"/>
            <w:vMerge w:val="restart"/>
            <w:tcBorders>
              <w:top w:val="nil"/>
              <w:left w:val="single" w:color="000000" w:sz="8" w:space="0"/>
              <w:bottom w:val="single" w:color="000000" w:sz="8" w:space="0"/>
              <w:right w:val="single" w:color="000000" w:sz="8" w:space="0"/>
            </w:tcBorders>
            <w:shd w:val="clear" w:color="auto" w:fill="auto"/>
            <w:noWrap/>
            <w:vAlign w:val="center"/>
          </w:tcPr>
          <w:p w14:paraId="1462E68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restart"/>
            <w:tcBorders>
              <w:top w:val="nil"/>
              <w:left w:val="single" w:color="000000" w:sz="8" w:space="0"/>
              <w:bottom w:val="single" w:color="000000" w:sz="8" w:space="0"/>
              <w:right w:val="single" w:color="000000" w:sz="8" w:space="0"/>
            </w:tcBorders>
            <w:shd w:val="clear" w:color="auto" w:fill="auto"/>
            <w:noWrap/>
            <w:vAlign w:val="center"/>
          </w:tcPr>
          <w:p w14:paraId="743A8C5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11EE734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10.3</w:t>
            </w:r>
          </w:p>
        </w:tc>
        <w:tc>
          <w:tcPr>
            <w:tcW w:w="201" w:type="pct"/>
            <w:vMerge w:val="restart"/>
            <w:tcBorders>
              <w:top w:val="nil"/>
              <w:left w:val="single" w:color="000000" w:sz="8" w:space="0"/>
              <w:bottom w:val="single" w:color="000000" w:sz="8" w:space="0"/>
              <w:right w:val="single" w:color="000000" w:sz="8" w:space="0"/>
            </w:tcBorders>
            <w:shd w:val="clear" w:color="auto" w:fill="auto"/>
            <w:noWrap/>
            <w:vAlign w:val="center"/>
          </w:tcPr>
          <w:p w14:paraId="2B314B4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vMerge w:val="restart"/>
            <w:tcBorders>
              <w:top w:val="nil"/>
              <w:left w:val="single" w:color="000000" w:sz="8" w:space="0"/>
              <w:bottom w:val="single" w:color="000000" w:sz="8" w:space="0"/>
              <w:right w:val="single" w:color="000000" w:sz="8" w:space="0"/>
            </w:tcBorders>
            <w:shd w:val="clear" w:color="auto" w:fill="auto"/>
            <w:noWrap/>
            <w:vAlign w:val="center"/>
          </w:tcPr>
          <w:p w14:paraId="1F4D23C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122.67</w:t>
            </w:r>
          </w:p>
        </w:tc>
        <w:tc>
          <w:tcPr>
            <w:tcW w:w="492" w:type="pct"/>
            <w:vMerge w:val="restart"/>
            <w:tcBorders>
              <w:top w:val="nil"/>
              <w:left w:val="single" w:color="000000" w:sz="8" w:space="0"/>
              <w:bottom w:val="single" w:color="000000" w:sz="8" w:space="0"/>
              <w:right w:val="single" w:color="000000" w:sz="8" w:space="0"/>
            </w:tcBorders>
            <w:shd w:val="clear" w:color="auto" w:fill="auto"/>
            <w:noWrap/>
            <w:vAlign w:val="center"/>
          </w:tcPr>
          <w:p w14:paraId="5E66A1B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840</w:t>
            </w:r>
          </w:p>
        </w:tc>
        <w:tc>
          <w:tcPr>
            <w:tcW w:w="325" w:type="pct"/>
            <w:vMerge w:val="restart"/>
            <w:tcBorders>
              <w:top w:val="nil"/>
              <w:left w:val="single" w:color="000000" w:sz="8" w:space="0"/>
              <w:bottom w:val="single" w:color="000000" w:sz="8" w:space="0"/>
              <w:right w:val="single" w:color="000000" w:sz="8" w:space="0"/>
            </w:tcBorders>
            <w:shd w:val="clear" w:color="auto" w:fill="auto"/>
            <w:noWrap/>
            <w:vAlign w:val="center"/>
          </w:tcPr>
          <w:p w14:paraId="08011E5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0.05%</w:t>
            </w:r>
          </w:p>
        </w:tc>
        <w:tc>
          <w:tcPr>
            <w:tcW w:w="1725" w:type="pct"/>
            <w:tcBorders>
              <w:top w:val="nil"/>
              <w:left w:val="single" w:color="000000" w:sz="8" w:space="0"/>
              <w:bottom w:val="nil"/>
              <w:right w:val="single" w:color="000000" w:sz="8" w:space="0"/>
            </w:tcBorders>
            <w:shd w:val="clear" w:color="auto" w:fill="auto"/>
            <w:vAlign w:val="center"/>
          </w:tcPr>
          <w:p w14:paraId="5FB53C1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运动员、工作人员入口</w:t>
            </w:r>
          </w:p>
        </w:tc>
      </w:tr>
      <w:tr w14:paraId="23F2E3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873DE2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7107F89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8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428EC93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vMerge w:val="continue"/>
            <w:tcBorders>
              <w:top w:val="nil"/>
              <w:left w:val="single" w:color="000000" w:sz="8" w:space="0"/>
              <w:bottom w:val="single" w:color="000000" w:sz="8" w:space="0"/>
              <w:right w:val="single" w:color="000000" w:sz="8" w:space="0"/>
            </w:tcBorders>
            <w:shd w:val="clear" w:color="auto" w:fill="auto"/>
            <w:noWrap/>
            <w:vAlign w:val="center"/>
          </w:tcPr>
          <w:p w14:paraId="7E2982E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2D1DEAE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057E884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0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4934597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97" w:type="pct"/>
            <w:vMerge w:val="continue"/>
            <w:tcBorders>
              <w:top w:val="nil"/>
              <w:left w:val="single" w:color="000000" w:sz="8" w:space="0"/>
              <w:bottom w:val="single" w:color="000000" w:sz="8" w:space="0"/>
              <w:right w:val="single" w:color="000000" w:sz="8" w:space="0"/>
            </w:tcBorders>
            <w:shd w:val="clear" w:color="auto" w:fill="auto"/>
            <w:noWrap/>
            <w:vAlign w:val="center"/>
          </w:tcPr>
          <w:p w14:paraId="6239798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61B4A7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3D74ED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2766339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地面瓷砖、墙面乳胶漆、顶棚乳胶漆</w:t>
            </w:r>
          </w:p>
        </w:tc>
      </w:tr>
      <w:tr w14:paraId="67DC88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D7B809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1677DF9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设备用房</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743347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18.68</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08D0B9D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270A66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0F29E5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18.68</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1388125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47E98EB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533.67</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E02D35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1BDFC3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F8C72C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地面、墙面、顶棚水泥砂浆找平</w:t>
            </w:r>
          </w:p>
        </w:tc>
      </w:tr>
      <w:tr w14:paraId="54674A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vMerge w:val="restart"/>
            <w:tcBorders>
              <w:top w:val="nil"/>
              <w:left w:val="single" w:color="000000" w:sz="8" w:space="0"/>
              <w:bottom w:val="single" w:color="000000" w:sz="8" w:space="0"/>
              <w:right w:val="single" w:color="000000" w:sz="8" w:space="0"/>
            </w:tcBorders>
            <w:shd w:val="clear" w:color="auto" w:fill="auto"/>
            <w:noWrap/>
            <w:vAlign w:val="center"/>
          </w:tcPr>
          <w:p w14:paraId="2B1F897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4BEBC65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公共活动区域</w:t>
            </w:r>
          </w:p>
        </w:tc>
        <w:tc>
          <w:tcPr>
            <w:tcW w:w="281" w:type="pct"/>
            <w:vMerge w:val="restart"/>
            <w:tcBorders>
              <w:top w:val="nil"/>
              <w:left w:val="single" w:color="000000" w:sz="8" w:space="0"/>
              <w:bottom w:val="single" w:color="000000" w:sz="8" w:space="0"/>
              <w:right w:val="single" w:color="000000" w:sz="8" w:space="0"/>
            </w:tcBorders>
            <w:shd w:val="clear" w:color="auto" w:fill="auto"/>
            <w:noWrap/>
            <w:vAlign w:val="center"/>
          </w:tcPr>
          <w:p w14:paraId="54C0D32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195.97</w:t>
            </w:r>
          </w:p>
        </w:tc>
        <w:tc>
          <w:tcPr>
            <w:tcW w:w="228" w:type="pct"/>
            <w:vMerge w:val="restart"/>
            <w:tcBorders>
              <w:top w:val="nil"/>
              <w:left w:val="single" w:color="000000" w:sz="8" w:space="0"/>
              <w:bottom w:val="single" w:color="000000" w:sz="8" w:space="0"/>
              <w:right w:val="single" w:color="000000" w:sz="8" w:space="0"/>
            </w:tcBorders>
            <w:shd w:val="clear" w:color="auto" w:fill="auto"/>
            <w:noWrap/>
            <w:vAlign w:val="center"/>
          </w:tcPr>
          <w:p w14:paraId="7A25529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restart"/>
            <w:tcBorders>
              <w:top w:val="nil"/>
              <w:left w:val="single" w:color="000000" w:sz="8" w:space="0"/>
              <w:bottom w:val="single" w:color="000000" w:sz="8" w:space="0"/>
              <w:right w:val="single" w:color="000000" w:sz="8" w:space="0"/>
            </w:tcBorders>
            <w:shd w:val="clear" w:color="auto" w:fill="auto"/>
            <w:noWrap/>
            <w:vAlign w:val="center"/>
          </w:tcPr>
          <w:p w14:paraId="5265BE1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6D385AD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195.97</w:t>
            </w:r>
          </w:p>
        </w:tc>
        <w:tc>
          <w:tcPr>
            <w:tcW w:w="201" w:type="pct"/>
            <w:vMerge w:val="restart"/>
            <w:tcBorders>
              <w:top w:val="nil"/>
              <w:left w:val="single" w:color="000000" w:sz="8" w:space="0"/>
              <w:bottom w:val="single" w:color="000000" w:sz="8" w:space="0"/>
              <w:right w:val="single" w:color="000000" w:sz="8" w:space="0"/>
            </w:tcBorders>
            <w:shd w:val="clear" w:color="auto" w:fill="auto"/>
            <w:noWrap/>
            <w:vAlign w:val="center"/>
          </w:tcPr>
          <w:p w14:paraId="0B91C35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vMerge w:val="restart"/>
            <w:tcBorders>
              <w:top w:val="nil"/>
              <w:left w:val="single" w:color="000000" w:sz="8" w:space="0"/>
              <w:bottom w:val="single" w:color="000000" w:sz="8" w:space="0"/>
              <w:right w:val="single" w:color="000000" w:sz="8" w:space="0"/>
            </w:tcBorders>
            <w:shd w:val="clear" w:color="auto" w:fill="auto"/>
            <w:noWrap/>
            <w:vAlign w:val="center"/>
          </w:tcPr>
          <w:p w14:paraId="2A3966C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1902.61</w:t>
            </w:r>
          </w:p>
        </w:tc>
        <w:tc>
          <w:tcPr>
            <w:tcW w:w="492" w:type="pct"/>
            <w:vMerge w:val="restart"/>
            <w:tcBorders>
              <w:top w:val="nil"/>
              <w:left w:val="single" w:color="000000" w:sz="8" w:space="0"/>
              <w:bottom w:val="single" w:color="000000" w:sz="8" w:space="0"/>
              <w:right w:val="single" w:color="000000" w:sz="8" w:space="0"/>
            </w:tcBorders>
            <w:shd w:val="clear" w:color="auto" w:fill="auto"/>
            <w:noWrap/>
            <w:vAlign w:val="center"/>
          </w:tcPr>
          <w:p w14:paraId="159695F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1030</w:t>
            </w:r>
          </w:p>
        </w:tc>
        <w:tc>
          <w:tcPr>
            <w:tcW w:w="325" w:type="pct"/>
            <w:vMerge w:val="restart"/>
            <w:tcBorders>
              <w:top w:val="nil"/>
              <w:left w:val="single" w:color="000000" w:sz="8" w:space="0"/>
              <w:bottom w:val="single" w:color="000000" w:sz="8" w:space="0"/>
              <w:right w:val="single" w:color="000000" w:sz="8" w:space="0"/>
            </w:tcBorders>
            <w:shd w:val="clear" w:color="auto" w:fill="auto"/>
            <w:noWrap/>
            <w:vAlign w:val="center"/>
          </w:tcPr>
          <w:p w14:paraId="53AEE4E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1.00%</w:t>
            </w:r>
          </w:p>
        </w:tc>
        <w:tc>
          <w:tcPr>
            <w:tcW w:w="1725" w:type="pct"/>
            <w:tcBorders>
              <w:top w:val="nil"/>
              <w:left w:val="single" w:color="000000" w:sz="8" w:space="0"/>
              <w:bottom w:val="nil"/>
              <w:right w:val="single" w:color="000000" w:sz="8" w:space="0"/>
            </w:tcBorders>
            <w:shd w:val="clear" w:color="auto" w:fill="auto"/>
            <w:vAlign w:val="center"/>
          </w:tcPr>
          <w:p w14:paraId="47F4343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包含公共走廊、楼梯间、电梯间等</w:t>
            </w:r>
          </w:p>
        </w:tc>
      </w:tr>
      <w:tr w14:paraId="6F626F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E3C18A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74519B9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8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3FA987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CCA596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4EA0F63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4B1F382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0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65C51D6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97" w:type="pct"/>
            <w:vMerge w:val="continue"/>
            <w:tcBorders>
              <w:top w:val="nil"/>
              <w:left w:val="single" w:color="000000" w:sz="8" w:space="0"/>
              <w:bottom w:val="single" w:color="000000" w:sz="8" w:space="0"/>
              <w:right w:val="single" w:color="000000" w:sz="8" w:space="0"/>
            </w:tcBorders>
            <w:shd w:val="clear" w:color="auto" w:fill="auto"/>
            <w:noWrap/>
            <w:vAlign w:val="center"/>
          </w:tcPr>
          <w:p w14:paraId="4640DF9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6140438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CF90CF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3048F65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含吊顶、墙面、地面。顶棚为无机涂料及乳胶漆；墙面为乳胶漆和砖墙面；地面为地砖</w:t>
            </w:r>
          </w:p>
        </w:tc>
      </w:tr>
      <w:tr w14:paraId="5328F3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F51D93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360C97A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室外装饰装修工程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49BF8C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747.51</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9F69E5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6B3C782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8C921B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747.51</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1BF631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70FF32A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7475.09</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6F4239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38F802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3.82%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AEA921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真石漆、局部幕墙</w:t>
            </w:r>
          </w:p>
        </w:tc>
      </w:tr>
      <w:tr w14:paraId="424280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57B916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7A5BA92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安装工程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198C19F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1091.62</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0CB84E2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4DF200B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78280E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1091.62</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3F78B5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2F0EAEB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12458.48</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B6E29F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876.21</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787007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5.58%</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1B29B61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3DC457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FA846A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4.1</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75190B7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50m</w:t>
            </w:r>
            <w:r>
              <w:rPr>
                <w:rFonts w:hint="default" w:ascii="Times New Roman" w:hAnsi="Times New Roman" w:eastAsia="宋体" w:cs="Times New Roman"/>
                <w:i w:val="0"/>
                <w:iCs w:val="0"/>
                <w:color w:val="000000"/>
                <w:kern w:val="0"/>
                <w:sz w:val="13"/>
                <w:szCs w:val="13"/>
                <w:u w:val="none"/>
                <w:lang w:val="en-US" w:eastAsia="zh-CN" w:bidi="ar"/>
              </w:rPr>
              <w:t>标准</w:t>
            </w:r>
            <w:r>
              <w:rPr>
                <w:rFonts w:hint="default" w:ascii="Times New Roman" w:hAnsi="Times New Roman" w:eastAsia="等线" w:cs="Times New Roman"/>
                <w:i w:val="0"/>
                <w:iCs w:val="0"/>
                <w:color w:val="000000"/>
                <w:kern w:val="0"/>
                <w:sz w:val="13"/>
                <w:szCs w:val="13"/>
                <w:u w:val="none"/>
                <w:lang w:val="en-US" w:eastAsia="zh-CN" w:bidi="ar"/>
              </w:rPr>
              <w:t>8</w:t>
            </w:r>
            <w:r>
              <w:rPr>
                <w:rFonts w:hint="default" w:ascii="Times New Roman" w:hAnsi="Times New Roman" w:eastAsia="宋体" w:cs="Times New Roman"/>
                <w:i w:val="0"/>
                <w:iCs w:val="0"/>
                <w:color w:val="000000"/>
                <w:kern w:val="0"/>
                <w:sz w:val="13"/>
                <w:szCs w:val="13"/>
                <w:u w:val="none"/>
                <w:lang w:val="en-US" w:eastAsia="zh-CN" w:bidi="ar"/>
              </w:rPr>
              <w:t>道游泳池</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10A0A1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217.34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305B9E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801FE6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D99610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217.34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731040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6C6523C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1841.84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63B6375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C56956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57D0A92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6B0E72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F234AD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B6FF2F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给排水</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6FA19B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22.1</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066EB3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855CCA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2FF99B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22.1</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2B025B1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75EC01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1841.84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0507B87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79827C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24DA06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25E602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3431BAC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94BAB6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强电工程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64D5FE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46.05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0DC7E20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E88581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02CBD51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46.05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94BB25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3CCDB6D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1841.84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6223C97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4421B6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0.24%</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0CDA2B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1E5CFC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DFC086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5D00DB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弱电工程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8C1236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27.63</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D3C91D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66F720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EF8271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27.63</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4FEEE18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344F11E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1841.84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9E73B5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56E35E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0.14%</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3759E5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645970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EC809F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07C4D40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消防工程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515527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44.2</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0A0D821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A0D165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EC1FBC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44.2</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DB17EA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7248402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1841.84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6AA2A05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240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91E0A0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0.23%</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E6B12C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3B1A9B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738D24C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04B7BC9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暖通工程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7921B0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77.36</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464553C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F90C32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4B9E392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77.36</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7A78E6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35B003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1841.84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5CEA46D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1645A1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0.40%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5FD66F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中央空调、自然排风和机械通风</w:t>
            </w:r>
          </w:p>
        </w:tc>
      </w:tr>
      <w:tr w14:paraId="1847D0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6A3BA38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4.2</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354ED2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游泳配套功能区</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10641B8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91.4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072DC7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A96BA3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F599D4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91.4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91AE60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3724EF0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846.34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0CFC957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0DD578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0.47%</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09239E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45A6CD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7C2E4E5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2A9AE2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给排水</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FDA053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21.16</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EE9945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634987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25B506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21.16</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0AC924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093F357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846.34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D81DEE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C247A7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E4877A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5055A7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731E00E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16A7E36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强电工程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AEC083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16.93</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0173D73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98DEBE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4B6E63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16.93</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9E3702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60CFF17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846.34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4A8659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EDBD8F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0.09%</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140446E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56E470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6EA457D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7B66DE9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弱电工程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7DCA00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12.7</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F5F1E1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B74997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19E88D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12.7</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A3D5C9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86E356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846.34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27909D9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F7BC56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0.06%</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6514CE9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0EAE3C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5F8301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1C75331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消防工程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D0C1F4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15.23</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FAA43E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99DAC7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2E4CDF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15.23</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55789E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4487DCF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846.34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0ED1A3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F34F73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0.08%</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8112C9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3F3747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63AD146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68E206C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暖通工程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786B38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25.39</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7B4B9D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6B0714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4376BA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25.39</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304B8A5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61B7DDD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846.34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FB9A27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71AAB7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0.13%</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69DB2B7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分体式空调、自然排风和机械通风</w:t>
            </w:r>
          </w:p>
        </w:tc>
      </w:tr>
      <w:tr w14:paraId="421101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585474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4.3</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3FC3438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标准篮球场</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64D7B9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198.79</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34D1A3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AAD17D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42D2EED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198.79</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79529C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37A72E5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2581.69</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0884305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770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B6B7EB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554D5F5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3DFF3B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C2F951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AA8027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给排水</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9584DF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15.49</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51533E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6422A7D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492338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15.49</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15990E0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CF1E4F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2581.69</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BCD5CC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32D2A3D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0.08%</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592A13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18B45B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38A031A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7123DB4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强电工程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2AA107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56.8</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0F5DCBE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6E411A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2E3297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56.8</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B019ED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337712D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2581.69</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C484A6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3671EF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0.29%</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525FCC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7D5C5A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B1338E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1B769F5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弱电工程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2C8FFE7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51.63</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96CF9D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0DE168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C248A7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51.63</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38FE63F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2FFF119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2581.69</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6A6BCF9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81441C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0.26%</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80EC01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10B83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4A057B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4BF900F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消防工程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DB10D5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51.63</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2BA7AC4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64A873D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431EAF9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51.63</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5B9ADB9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4C915E6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2581.69</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6BD08C2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332CFF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0.26%</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57DF7BD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674CFC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574BD7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0B68C26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暖通工程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FECE74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23.24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911831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0968B1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3C8E9A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23.24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E138A1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641BFD9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2581.69</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A22AB3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E61569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BE07F6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自然排风和机械通风</w:t>
            </w:r>
          </w:p>
        </w:tc>
      </w:tr>
      <w:tr w14:paraId="4188F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8C7DC5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4.4</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0570D7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篮球配套功能区</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FAB13B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50.83</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06B02F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21501E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CFE082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50.83</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28A2D3D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32C97BB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529.44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9D4D50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960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BF7CEA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0.26%</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6030CC9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01EE84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1083E7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CFEADE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给排水</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FEBCD5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4.24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7212C5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4BBB219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2D487E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4.24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3602F7B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6F7DBA9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529.44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4C3A02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069974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3B3F33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06C7AB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3FAC2B3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B2661A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强电工程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0E3D6E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11.65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4AA7E0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26BCDA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D782B6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11.65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13EDA84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7B4BFE9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529.44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5DF348B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1AD0C6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0.06%</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6ACB47D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5F63FB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C68BC2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6E7C4E3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弱电工程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1183673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8.47</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EEE4C4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61C479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0F1737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8.47</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19AFC07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2B9B6A5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529.44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56A5E39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160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BEB23A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0.04%</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14879CD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7A0AF4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7B5FB5E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409D64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消防工程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874A36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10.59</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256D26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F6DD7F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2CB39B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10.59</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41DF317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7BCC406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529.44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22F463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2C05660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0.05%</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4E5CB6E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3DEF72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7AFDAB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7948707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暖通工程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8A292E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15.88</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21EE84C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B5CB49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4AD04FB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15.88</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53E2AD6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2CFCCA5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529.44</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293BC8B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507751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0.08%</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ED0EC6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分体式空调、自然排风和机械通风</w:t>
            </w:r>
          </w:p>
        </w:tc>
      </w:tr>
      <w:tr w14:paraId="50B52D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6B2C07D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4.5</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75970F8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服务大厅</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548BD3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126.16</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FD2A0F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691894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1E437D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126.16</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C7A882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F600BD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1126.45</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03141F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42BE66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0.65%</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5DD4BB0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50C706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58D6EF1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73A335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给排水</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ABC7D4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9.01</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71DF68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3C9ECE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BCE8FA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9.01</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1CFE86B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03E2536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1126.45</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47D809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430BBF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0.05%</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1181B1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5ABF42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6BE58A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DBD762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强电工程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E0309D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31.54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0987D0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0B1BFA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270F9C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31.54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5461E4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6059EC3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1126.45</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A32C53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02D3C3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0.16%</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85ED6B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27A812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3D20F75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6844148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弱电工程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068C9C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20.28</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CDD37C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B6C63C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526DC6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20.28</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7B7ECD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7A86D2A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1126.45</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DB6AFD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2A3F70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113273F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2B5919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76B47E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1C3EA9E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消防工程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80C7BB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18.02</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5736A7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8E3F47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01AD4B2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18.02</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4658CBA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02EB5E6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1126.45</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5BF6661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160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070030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0.09%</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8EEE9B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0630EF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710D892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7DF4C13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暖通工程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2981BC9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47.31</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E2B8B8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551695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F89CD1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47.31</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B0BCAE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75F5AFE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1126.45</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F7DA5A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3F77CC3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0.24%</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6D3791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中央空调、自然排风和机械通风</w:t>
            </w:r>
          </w:p>
        </w:tc>
      </w:tr>
      <w:tr w14:paraId="760F4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7AC15AE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4.6</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1EE6046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综合训练场</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223F243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175.81</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6B2E1D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4B1D30E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7D7E48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175.81</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58C1F99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0BDC70B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2044.28</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C19962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860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3C8A2E6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0.90%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6D622ED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417F1D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E9503B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6CF73D1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给排水</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5EC434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8.18</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C454B0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65A0815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820676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8.18</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C6052B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472904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2044.28</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85B4B0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A90B46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0.04%</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1F4FFD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610E8B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5E9A77E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66F3995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强电工程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738E93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44.97</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06D108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E2C3D8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E9C42B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44.97</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98CFC9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389A79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2044.28</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6E8325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207DDE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0.23%</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BBC8EB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4463ED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3BAD0CC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4000C33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弱电工程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74509E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24.53</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21F29C8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6A18E74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99EE22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24.53</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2B04EAC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9186DF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2044.28</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24C2AA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C18546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0.13%</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6BCA692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670C02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60B65C9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76F6DD6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消防工程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A19833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36.8</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2CD1A98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41A2CD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1A3FDC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36.8</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10986EF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474602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2044.28</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62AC0B6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DC8180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0.19%</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131A2B6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03CEF6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210AD7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6671FF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暖通工程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DCD689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61.33</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295AD3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8969D5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8B6DB2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61.33</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CB31D8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280A12B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2044.28</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048549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A1133E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0.31%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782612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分体式空调、自然排风和机械通风</w:t>
            </w:r>
          </w:p>
        </w:tc>
      </w:tr>
      <w:tr w14:paraId="77251E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BEC920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4.7</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C22842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乒乓球室</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952062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19.49</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A38F59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612473E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8F572A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19.49</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518C403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253453B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243.6</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35669A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0A3962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B585B8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7A9F88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5401DAD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65D1D83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给排水</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29E7F0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0.97</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158197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6DBE0BC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0608D1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0.97</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5E4E2E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0BBBFA6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243.6</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E34CFA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61999C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EB633B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333DE8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A699F1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12EDC9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强电工程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237C23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4.38</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079EE07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18E262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88911A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4.38</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41208E7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4EC2969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243.6</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C67E7A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35486A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9CCC3C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337B1A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513E70D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002CC50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弱电工程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1AFAB33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2.44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AF05FF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44B372F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2F2864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2.44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3907EE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04D72C6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243.6</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99EE2E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2AD145C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FC269E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3546D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068693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1AB0FA4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消防工程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DC5C1D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4.38</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911C79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DF5078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08F9419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4.38</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00DB29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2830EA0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243.6</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3AA3A1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0D3481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5665598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3B72BF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610B09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35F0DB5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暖通工程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7376EE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7.31</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B5AB6D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792ACC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91FD33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7.31</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D4AC80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DAE0DD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243.6</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AEDBF0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9CF95E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0.04%</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AF38D5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分体式空调、自然排风和机械通风</w:t>
            </w:r>
          </w:p>
        </w:tc>
      </w:tr>
      <w:tr w14:paraId="06A843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390D13C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4.8</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10D79A4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健身中心</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109A1D3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64.47</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444C6F7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6FBAA37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01286D3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64.47</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2D41C20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858FE0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685.89</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53E351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940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96C50A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0.33%</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4A84BB6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6FC193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534F87E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6D8C338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给排水</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93F73A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2.74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4091D6C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26F18B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5FC175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2.74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CA7852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376B40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685.89</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20A9EC9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AD82F9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929103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724AC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C05045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1818E2C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强电工程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6C462E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12.35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02234E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A2FABD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FE18C8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12.35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3247A21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3B58DEF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685.89</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2068671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846321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0.06%</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D1DCEF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4FF954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0F8A6C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7D4CF9C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弱电工程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843BB7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8.23</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9B0B14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69604F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789613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8.23</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AB91DE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7182346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685.89</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2B7529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EAFFD2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0.04%</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2ADCAD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7E14A7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611DA3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3B7D3EA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消防工程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5C4C2B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12.35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B5C128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A950C3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114887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12.35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A9A53E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D60ACC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685.89</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532EEFF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1A5DA4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0.06%</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6C5211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6B5ED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65933EB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39575B0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暖通工程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1F0936D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28.81</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DFFA94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27B031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0E20C34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28.81</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4D5A0AF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4CDEE48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685.89</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97E105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3272102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0.15%</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5129D30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中央空调、自然排风和机械通风</w:t>
            </w:r>
          </w:p>
        </w:tc>
      </w:tr>
      <w:tr w14:paraId="2D4885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5CB91D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4.9</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3C27403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特殊人员门厅</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65DBE4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9.69</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47E86D1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32F2E8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FC41AC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9.69</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40B9B1F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EDF068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122.67</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62CBFF8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790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07DA5A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0.05%</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AE87F5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65077C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0756B2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64A686F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给排水</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125349E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0.61</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2E5929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AB91F2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36F913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0.61</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756852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2777110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122.67</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5D5936C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EED080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AD46AD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2CEFEC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E12DC7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4A88BC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强电工程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FC7019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2E5A6D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D27C59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B13146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5D89FE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0F31245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122.67</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97B617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44AD44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7F78D4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5E83DD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58ED8E1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30C2716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弱电工程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C60F3F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81DEC5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C01E0B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5A82F5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D0E36A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6313B96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122.67</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6D85A68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753C51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631F130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507BA4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714AFF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7BD6144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消防工程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11D6F78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2.21</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08F438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4D5A57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1F0DF5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2.21</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3A09B8B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3090D2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122.67</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066238E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7D3C27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12B698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4D1E3B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6B34C51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7537E7B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暖通工程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1CC2E6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3.68</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0E20893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B50D92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EF73FF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3.68</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54E2B24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35A995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122.67</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AFC526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38AC28C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13093B7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分体式空调、自然排风和机械通风</w:t>
            </w:r>
          </w:p>
        </w:tc>
      </w:tr>
      <w:tr w14:paraId="1005E5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0D4CBC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4.1</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F64CDA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设备用房</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03D481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23.48</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BD13CB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DA19ED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C420C9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23.48</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4E6E33F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6BB7381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533.67</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5FAF615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440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08A434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4FC281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7CF9F0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D6B4B8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B208A8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给排水</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B2213C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3.2</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9D08DF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B5D784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118AB1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3.2</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3F128AA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51682D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533.67</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C79EB5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82C948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5B53135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2D4B1E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5D84439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0AAA2B7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强电工程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EBD113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5.87</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A4D940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2BDD09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6D7A06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5.87</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361A23D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31DC66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533.67</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0AAE570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7F1E7C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0.03%</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2B5D5E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122D03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5E98257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797F8F0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弱电工程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29C7AC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2.67</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DA9561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494CB7C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4B593F9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2.67</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2C50396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668EC7C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533.67</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508F5DD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02CFAA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37383A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71087A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32FF2E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381239C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消防工程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D11B3C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6.94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E4484E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87240F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6E1B4A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6.94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7DDCCC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0859E38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533.67</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353CC4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209AD5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0.04%</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F89667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2A8F20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72BE409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6D1B36B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通风工程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CD1FAA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4.8</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40CF042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745FD7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9FCBD6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4.8</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DAAC28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F8FB8F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533.67</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D3EF4B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7598AB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43E2B47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自然排风和机械通风</w:t>
            </w:r>
          </w:p>
        </w:tc>
      </w:tr>
      <w:tr w14:paraId="2C15B6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6EFD8E2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4.11</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297E6C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公共活动区域</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E60624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114.16</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4AD3198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6CB00B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474F47A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114.16</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5D244F6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E95A7C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1902.61</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05599FF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642A50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0.58%</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5C3626F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701D28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17D5CF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75A8F5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给排水</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AD6893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11.42</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54548B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6DA7EFD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098A300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11.42</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4F10F66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0F4A165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1902.61</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61D00B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EBE3AD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0.06%</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CB504C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1C6EA5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0D3130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0CF793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强电工程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E859D6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22.83</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40315CB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8F895C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3093B6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22.83</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FB1A1E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620749C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1902.61</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4E5124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0E29F0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562C78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4494E9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5FB22F1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A130B1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弱电工程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769BA3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28.54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8E390D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D2D1C8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A4EBD7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28.54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1C7CB38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4C77111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1902.61</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F8B5C1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2697160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0.15%</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ED56AF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443355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7538206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A89DEC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消防工程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22EEB3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34.25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A33870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5D3392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4DB63D4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34.25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44DA1C0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5E4D8A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1902.61</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5FAFF8A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AB3EBA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0.18%</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A2BB3A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1C7B81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438DE6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9C5315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通风工程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004FD5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17.12</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9218FD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53F719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4685B2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17.12</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1195615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4A0B174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1902.61</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8877AC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6AE277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0.09%</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F06561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自然排风和机械通风</w:t>
            </w:r>
          </w:p>
        </w:tc>
      </w:tr>
      <w:tr w14:paraId="66F4D3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303349A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（二）</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014E11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地下部分</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3A12B6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5939.14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BB39C7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99FC5B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A9122E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5939.14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132F18B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6A3DF3A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10492.63</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1F01B4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5660.29</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E20721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30.38%</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4AA789FF">
            <w:pPr>
              <w:keepNext w:val="0"/>
              <w:keepLines w:val="0"/>
              <w:pageBreakBefore w:val="0"/>
              <w:widowControl/>
              <w:kinsoku/>
              <w:wordWrap/>
              <w:overflowPunct/>
              <w:topLinePunct w:val="0"/>
              <w:autoSpaceDE/>
              <w:autoSpaceDN/>
              <w:bidi w:val="0"/>
              <w:adjustRightInd/>
              <w:snapToGrid/>
              <w:spacing w:line="240" w:lineRule="atLeast"/>
              <w:ind w:firstLine="0" w:firstLineChars="0"/>
              <w:jc w:val="left"/>
              <w:rPr>
                <w:rFonts w:hint="default" w:ascii="Times New Roman" w:hAnsi="Times New Roman" w:eastAsia="等线" w:cs="Times New Roman"/>
                <w:b/>
                <w:bCs/>
                <w:i w:val="0"/>
                <w:iCs w:val="0"/>
                <w:color w:val="000000"/>
                <w:sz w:val="13"/>
                <w:szCs w:val="13"/>
                <w:u w:val="none"/>
              </w:rPr>
            </w:pPr>
          </w:p>
        </w:tc>
      </w:tr>
      <w:tr w14:paraId="186970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0D88D8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C1096A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设备用房</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E40279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773.55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1B9229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D4E869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F4C622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773.55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575819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31525F4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C294B9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019EDA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3.96%</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6C19712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地下游泳池相关设备机房450.00㎡、地下设备机房900.00㎡</w:t>
            </w:r>
          </w:p>
        </w:tc>
      </w:tr>
      <w:tr w14:paraId="07472D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822759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D8758C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土建工程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5F692A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596.7</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45E8421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CDD451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6A75E8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596.7</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A39ACA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22A33F5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1350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0B51BDB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4420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B434F9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3.05%</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67C025F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含建筑工程、地基处理、基坑支护、降排水处理等</w:t>
            </w:r>
          </w:p>
        </w:tc>
      </w:tr>
      <w:tr w14:paraId="4FE7E7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73AFE47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1423AF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装饰装修工程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7721B3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47.25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27BCDC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494A3ED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482DEE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47.25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3709D3E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0E102BB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1350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45B3AF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3DA0937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0.24%</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0424012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风机房、水泵房、柴油发电机房采用隔音墙面与隔音吊顶；其他用房采用金刚砂地坪、墙面及顶棚采用A级无机涂料</w:t>
            </w:r>
          </w:p>
        </w:tc>
      </w:tr>
      <w:tr w14:paraId="5AF863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FD8E73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A9DCF1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安装工程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8CE825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129.6</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4DF157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771146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08238B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129.6</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5BC4BC9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6A7E690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180D52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2270E46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0.66%</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3FBE6CC">
            <w:pPr>
              <w:keepNext w:val="0"/>
              <w:keepLines w:val="0"/>
              <w:pageBreakBefore w:val="0"/>
              <w:widowControl/>
              <w:kinsoku/>
              <w:wordWrap/>
              <w:overflowPunct/>
              <w:topLinePunct w:val="0"/>
              <w:autoSpaceDE/>
              <w:autoSpaceDN/>
              <w:bidi w:val="0"/>
              <w:adjustRightInd/>
              <w:snapToGrid/>
              <w:spacing w:line="240" w:lineRule="atLeast"/>
              <w:ind w:firstLine="0" w:firstLineChars="0"/>
              <w:jc w:val="left"/>
              <w:rPr>
                <w:rFonts w:hint="default" w:ascii="Times New Roman" w:hAnsi="Times New Roman" w:eastAsia="等线" w:cs="Times New Roman"/>
                <w:i w:val="0"/>
                <w:iCs w:val="0"/>
                <w:color w:val="000000"/>
                <w:sz w:val="13"/>
                <w:szCs w:val="13"/>
                <w:u w:val="none"/>
              </w:rPr>
            </w:pPr>
          </w:p>
        </w:tc>
      </w:tr>
      <w:tr w14:paraId="084B59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30A9C7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6FC78B0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给排水</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57C1CE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16.2</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0FDB5BF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1386D7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42A07F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16.2</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27EC5F7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09697A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1350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19BD9E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61DCDE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0.08%</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4B07B786">
            <w:pPr>
              <w:keepNext w:val="0"/>
              <w:keepLines w:val="0"/>
              <w:pageBreakBefore w:val="0"/>
              <w:widowControl/>
              <w:kinsoku/>
              <w:wordWrap/>
              <w:overflowPunct/>
              <w:topLinePunct w:val="0"/>
              <w:autoSpaceDE/>
              <w:autoSpaceDN/>
              <w:bidi w:val="0"/>
              <w:adjustRightInd/>
              <w:snapToGrid/>
              <w:spacing w:line="240" w:lineRule="atLeast"/>
              <w:ind w:firstLine="0" w:firstLineChars="0"/>
              <w:jc w:val="left"/>
              <w:rPr>
                <w:rFonts w:hint="default" w:ascii="Times New Roman" w:hAnsi="Times New Roman" w:eastAsia="等线" w:cs="Times New Roman"/>
                <w:i w:val="0"/>
                <w:iCs w:val="0"/>
                <w:color w:val="000000"/>
                <w:sz w:val="13"/>
                <w:szCs w:val="13"/>
                <w:u w:val="none"/>
              </w:rPr>
            </w:pPr>
          </w:p>
        </w:tc>
      </w:tr>
      <w:tr w14:paraId="61F194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6307D87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638BF3B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强电工程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12714A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60.75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CF510F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CEF544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48829B4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60.75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B0DBED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4938D82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1350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70CFE0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87F5F6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0.31%</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5391061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配电箱、电缆电线、配管、套管、灯具等（含高低压配电）</w:t>
            </w:r>
          </w:p>
        </w:tc>
      </w:tr>
      <w:tr w14:paraId="03C4AE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F9BC01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CE5256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弱电工程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05060A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14.85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252B683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A73CFD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482F553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14.85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465D015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08843C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1350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E19DE1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3912512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0.08%</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41E36F1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包括火灾报警工程</w:t>
            </w:r>
          </w:p>
        </w:tc>
      </w:tr>
      <w:tr w14:paraId="718894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0ECBFD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4D6EE7D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消防工程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71BC2C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24.3</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43C3FFA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BC7132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EB2DD2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24.3</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27952EA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3C54E1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1350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64B913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34284E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0.12%</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7F85E2D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消防水池、自动喷淋系统、消火栓、消防设施设备、气体灭火系统、灭火器</w:t>
            </w:r>
          </w:p>
        </w:tc>
      </w:tr>
      <w:tr w14:paraId="656C65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6D3D2D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69D7645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通风工程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7FECFE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24DCF8B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C14D19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40C033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2291D1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6354B13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1350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08576B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24E208A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0.07%</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DB44D2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机械排风兼排烟系统</w:t>
            </w:r>
          </w:p>
        </w:tc>
      </w:tr>
      <w:tr w14:paraId="78E30E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9B2F56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1B234F0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停车位</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C663C3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5165.59</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44C6AB7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AB3101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BF0502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5165.59</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16051CA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3F3F538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AE1650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8CE212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26.42%</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7E85BB9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292</w:t>
            </w:r>
            <w:r>
              <w:rPr>
                <w:rFonts w:hint="default" w:ascii="Times New Roman" w:hAnsi="Times New Roman" w:eastAsia="宋体" w:cs="Times New Roman"/>
                <w:i w:val="0"/>
                <w:iCs w:val="0"/>
                <w:color w:val="000000"/>
                <w:kern w:val="0"/>
                <w:sz w:val="13"/>
                <w:szCs w:val="13"/>
                <w:u w:val="none"/>
                <w:lang w:val="en-US" w:eastAsia="zh-CN" w:bidi="ar"/>
              </w:rPr>
              <w:t>个停车位，按总停车位（</w:t>
            </w:r>
            <w:r>
              <w:rPr>
                <w:rFonts w:hint="default" w:ascii="Times New Roman" w:hAnsi="Times New Roman" w:eastAsia="等线" w:cs="Times New Roman"/>
                <w:i w:val="0"/>
                <w:iCs w:val="0"/>
                <w:color w:val="000000"/>
                <w:kern w:val="0"/>
                <w:sz w:val="13"/>
                <w:szCs w:val="13"/>
                <w:u w:val="none"/>
                <w:lang w:val="en-US" w:eastAsia="zh-CN" w:bidi="ar"/>
              </w:rPr>
              <w:t>312</w:t>
            </w:r>
            <w:r>
              <w:rPr>
                <w:rFonts w:hint="default" w:ascii="Times New Roman" w:hAnsi="Times New Roman" w:eastAsia="宋体" w:cs="Times New Roman"/>
                <w:i w:val="0"/>
                <w:iCs w:val="0"/>
                <w:color w:val="000000"/>
                <w:kern w:val="0"/>
                <w:sz w:val="13"/>
                <w:szCs w:val="13"/>
                <w:u w:val="none"/>
                <w:lang w:val="en-US" w:eastAsia="zh-CN" w:bidi="ar"/>
              </w:rPr>
              <w:t>个）的</w:t>
            </w:r>
            <w:r>
              <w:rPr>
                <w:rFonts w:hint="default" w:ascii="Times New Roman" w:hAnsi="Times New Roman" w:eastAsia="等线" w:cs="Times New Roman"/>
                <w:i w:val="0"/>
                <w:iCs w:val="0"/>
                <w:color w:val="000000"/>
                <w:kern w:val="0"/>
                <w:sz w:val="13"/>
                <w:szCs w:val="13"/>
                <w:u w:val="none"/>
                <w:lang w:val="en-US" w:eastAsia="zh-CN" w:bidi="ar"/>
              </w:rPr>
              <w:t>20%</w:t>
            </w:r>
            <w:r>
              <w:rPr>
                <w:rFonts w:hint="default" w:ascii="Times New Roman" w:hAnsi="Times New Roman" w:eastAsia="宋体" w:cs="Times New Roman"/>
                <w:i w:val="0"/>
                <w:iCs w:val="0"/>
                <w:color w:val="000000"/>
                <w:kern w:val="0"/>
                <w:sz w:val="13"/>
                <w:szCs w:val="13"/>
                <w:u w:val="none"/>
                <w:lang w:val="en-US" w:eastAsia="zh-CN" w:bidi="ar"/>
              </w:rPr>
              <w:t>配备充电桩，即</w:t>
            </w:r>
            <w:r>
              <w:rPr>
                <w:rFonts w:hint="default" w:ascii="Times New Roman" w:hAnsi="Times New Roman" w:eastAsia="等线" w:cs="Times New Roman"/>
                <w:i w:val="0"/>
                <w:iCs w:val="0"/>
                <w:color w:val="000000"/>
                <w:kern w:val="0"/>
                <w:sz w:val="13"/>
                <w:szCs w:val="13"/>
                <w:u w:val="none"/>
                <w:lang w:val="en-US" w:eastAsia="zh-CN" w:bidi="ar"/>
              </w:rPr>
              <w:t>63</w:t>
            </w:r>
            <w:r>
              <w:rPr>
                <w:rFonts w:hint="default" w:ascii="Times New Roman" w:hAnsi="Times New Roman" w:eastAsia="宋体" w:cs="Times New Roman"/>
                <w:i w:val="0"/>
                <w:iCs w:val="0"/>
                <w:color w:val="000000"/>
                <w:kern w:val="0"/>
                <w:sz w:val="13"/>
                <w:szCs w:val="13"/>
                <w:u w:val="none"/>
                <w:lang w:val="en-US" w:eastAsia="zh-CN" w:bidi="ar"/>
              </w:rPr>
              <w:t>个充电桩停车位</w:t>
            </w:r>
          </w:p>
        </w:tc>
      </w:tr>
      <w:tr w14:paraId="0F0779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5B9DB8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2.1</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83EFDE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土建工程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27F04DD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4041.04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0690E95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CC7E59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41EFCDC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4041.04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EB5C3B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7EBB37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9142.63</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5F649EA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4420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139975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20.67%</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78811AD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共两层，单层层高4米；含建筑工程、地基处理、基坑支护、降排水处理等</w:t>
            </w:r>
          </w:p>
        </w:tc>
      </w:tr>
      <w:tr w14:paraId="76B43D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3744D3F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2.2</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6F7B3CC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装饰装修工程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6A9AC7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457.13</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8F374D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55EF3B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0714FA5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457.13</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38BDC7A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73990D8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9142.63</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BE4A91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B84944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2.34%</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24D74BD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车库采用金刚砂地坪、墙面及顶棚采用A级无机涂料</w:t>
            </w:r>
          </w:p>
        </w:tc>
      </w:tr>
      <w:tr w14:paraId="3840B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262463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2.3</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4D9BE26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安装工程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24F32D7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667.41</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C79F44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471CC1B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19C579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667.41</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2CF2719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2929CC2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63AC29E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121355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3.41%</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685AAA59">
            <w:pPr>
              <w:keepNext w:val="0"/>
              <w:keepLines w:val="0"/>
              <w:pageBreakBefore w:val="0"/>
              <w:widowControl/>
              <w:kinsoku/>
              <w:wordWrap/>
              <w:overflowPunct/>
              <w:topLinePunct w:val="0"/>
              <w:autoSpaceDE/>
              <w:autoSpaceDN/>
              <w:bidi w:val="0"/>
              <w:adjustRightInd/>
              <w:snapToGrid/>
              <w:spacing w:line="240" w:lineRule="atLeast"/>
              <w:ind w:firstLine="0" w:firstLineChars="0"/>
              <w:jc w:val="left"/>
              <w:rPr>
                <w:rFonts w:hint="default" w:ascii="Times New Roman" w:hAnsi="Times New Roman" w:eastAsia="等线" w:cs="Times New Roman"/>
                <w:i w:val="0"/>
                <w:iCs w:val="0"/>
                <w:color w:val="000000"/>
                <w:sz w:val="13"/>
                <w:szCs w:val="13"/>
                <w:u w:val="none"/>
              </w:rPr>
            </w:pPr>
          </w:p>
        </w:tc>
      </w:tr>
      <w:tr w14:paraId="038BA7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7969B2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1951330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给排水</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58CACF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109.71</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47E9E61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B079D0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C7BD38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109.71</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370E4FC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20DF45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9142.63</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582FF1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AA3F7B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0.56%</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7A7960D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含给排水设备、管道、阀门、仪表、变频供水装置等</w:t>
            </w:r>
          </w:p>
        </w:tc>
      </w:tr>
      <w:tr w14:paraId="07DCB1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09CBF1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C2E1B3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强电工程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AE7267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164.57</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23ED63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2550D6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599F21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164.57</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17EEB22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20F0EE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9142.63</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2A0671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256E42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0.84%</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1299AB98">
            <w:pPr>
              <w:keepNext w:val="0"/>
              <w:keepLines w:val="0"/>
              <w:pageBreakBefore w:val="0"/>
              <w:widowControl/>
              <w:kinsoku/>
              <w:wordWrap/>
              <w:overflowPunct/>
              <w:topLinePunct w:val="0"/>
              <w:autoSpaceDE/>
              <w:autoSpaceDN/>
              <w:bidi w:val="0"/>
              <w:adjustRightInd/>
              <w:snapToGrid/>
              <w:spacing w:line="240" w:lineRule="atLeast"/>
              <w:ind w:firstLine="0" w:firstLineChars="0"/>
              <w:jc w:val="left"/>
              <w:rPr>
                <w:rFonts w:hint="default" w:ascii="Times New Roman" w:hAnsi="Times New Roman" w:eastAsia="等线" w:cs="Times New Roman"/>
                <w:i w:val="0"/>
                <w:iCs w:val="0"/>
                <w:color w:val="000000"/>
                <w:sz w:val="13"/>
                <w:szCs w:val="13"/>
                <w:u w:val="none"/>
              </w:rPr>
            </w:pPr>
          </w:p>
        </w:tc>
      </w:tr>
      <w:tr w14:paraId="0C1E8D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6D866C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1D8DF7D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弱电工程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BB99E5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137.14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0BBEB7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FEDC48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075947A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137.14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1FDAA7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3F1D55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9142.63</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97F112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C3E1DA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0.70%</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03EBE55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包括火灾报警工程</w:t>
            </w:r>
          </w:p>
        </w:tc>
      </w:tr>
      <w:tr w14:paraId="7BCC08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5A5BC5A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665658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消防工程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B88B99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164.57</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D2EB4D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DE184E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04C329C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164.57</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943F9A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ED0C08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9142.63</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5E3BE9D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E3384F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0.84%</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3FDDCBA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消防水池、自动喷淋系统、消火栓、消防设施设备、气体灭火系统、灭火器</w:t>
            </w:r>
          </w:p>
        </w:tc>
      </w:tr>
      <w:tr w14:paraId="7C66BE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F9B9B9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67DFF5A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通风工程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2C22488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91.43</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5E5EB8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A9C2FB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05649B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91.43</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4721B37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34C016D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9142.63</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663D82C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DC040D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0.47%</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33CF7CF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机械排风兼排烟系统</w:t>
            </w:r>
          </w:p>
        </w:tc>
      </w:tr>
      <w:tr w14:paraId="2E9804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76FE8A3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（三）</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4EBE5A5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总图工程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857A29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885.13</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02DEA3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2C3984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736227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885.13</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441FBF7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0AF5405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12172</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54D4E8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727.18</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FEE046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4.53%</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476042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r>
      <w:tr w14:paraId="040F02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76EAEC8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0751E7A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挖方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92CEE6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71.4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8959B5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44F8F2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010ADA3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71.4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D83CCF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m³</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FD202E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51000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24CA6D9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14</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7F6382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0.37%</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9ED357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r>
      <w:tr w14:paraId="029B3D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3DF127D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F9F445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填方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A5594B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79.2</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2FC123F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5D839A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6D6888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79.2</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1E6E4DB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m³</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6BBBBD9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49500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EE501E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16</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3DF9241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0.41%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1DE662A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r>
      <w:tr w14:paraId="13F2D7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6EB7868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1F4A86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余方弃置</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261CCB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3.45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193523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4240B0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CD1D67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3.45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C2FD34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m³</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68D7C97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1500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0966857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23</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2775AEE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AD33A0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运距20km内</w:t>
            </w:r>
          </w:p>
        </w:tc>
      </w:tr>
      <w:tr w14:paraId="5BB905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7E5D2F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37020B7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户外标准篮球场</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17EF161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28.6</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693A26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B43208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E441D4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28.6</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D59518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2A8881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520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2FD9FD8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7B176B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0.15%</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3561E9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聚氨酯塑胶地面、护栏铁丝网</w:t>
            </w:r>
          </w:p>
        </w:tc>
      </w:tr>
      <w:tr w14:paraId="5D2920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62A3F9B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1FD69EC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室外健身活动场</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9FA806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26</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08FB4A8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4C8CCAB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0174262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26</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BD3444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714BB86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400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79C2B3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FEF739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0.13%</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13FB376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双丙聚氨酯保护涂层+3厘米粒径6毫米彩色强固透水混凝土+5厘米厚10毫米粒径C30素色透水混凝土+0.2厘米厚SBS乳化沥青稀浆封层+10厘米厚C20混凝土垫层+15厘米级配碎石底基层。总厚度33cm 。含健身器材</w:t>
            </w:r>
          </w:p>
        </w:tc>
      </w:tr>
      <w:tr w14:paraId="2EBA77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5ED7C18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0E6417C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健身步道及配套</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183CB3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308.18</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744404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43D5D9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454487D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308.18</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8A2C3F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07261FF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8805</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6CB9E22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CB433D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1.58%</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464F1B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400m</w:t>
            </w:r>
            <w:r>
              <w:rPr>
                <w:rFonts w:hint="default" w:ascii="Times New Roman" w:hAnsi="Times New Roman" w:eastAsia="宋体" w:cs="Times New Roman"/>
                <w:i w:val="0"/>
                <w:iCs w:val="0"/>
                <w:color w:val="000000"/>
                <w:kern w:val="0"/>
                <w:sz w:val="13"/>
                <w:szCs w:val="13"/>
                <w:u w:val="none"/>
                <w:lang w:val="en-US" w:eastAsia="zh-CN" w:bidi="ar"/>
              </w:rPr>
              <w:t>慢行跑道（与消防车道共用）</w:t>
            </w:r>
          </w:p>
        </w:tc>
      </w:tr>
      <w:tr w14:paraId="374704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vMerge w:val="restart"/>
            <w:tcBorders>
              <w:top w:val="nil"/>
              <w:left w:val="single" w:color="000000" w:sz="8" w:space="0"/>
              <w:bottom w:val="single" w:color="000000" w:sz="8" w:space="0"/>
              <w:right w:val="single" w:color="000000" w:sz="8" w:space="0"/>
            </w:tcBorders>
            <w:shd w:val="clear" w:color="auto" w:fill="auto"/>
            <w:noWrap/>
            <w:vAlign w:val="center"/>
          </w:tcPr>
          <w:p w14:paraId="465289B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w:t>
            </w:r>
          </w:p>
        </w:tc>
        <w:tc>
          <w:tcPr>
            <w:tcW w:w="6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7B1B5DB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场地硬化</w:t>
            </w:r>
          </w:p>
        </w:tc>
        <w:tc>
          <w:tcPr>
            <w:tcW w:w="281" w:type="pct"/>
            <w:vMerge w:val="restart"/>
            <w:tcBorders>
              <w:top w:val="nil"/>
              <w:left w:val="single" w:color="000000" w:sz="8" w:space="0"/>
              <w:bottom w:val="single" w:color="000000" w:sz="8" w:space="0"/>
              <w:right w:val="single" w:color="000000" w:sz="8" w:space="0"/>
            </w:tcBorders>
            <w:shd w:val="clear" w:color="auto" w:fill="auto"/>
            <w:noWrap/>
            <w:vAlign w:val="center"/>
          </w:tcPr>
          <w:p w14:paraId="58024C3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118.3</w:t>
            </w:r>
          </w:p>
        </w:tc>
        <w:tc>
          <w:tcPr>
            <w:tcW w:w="228" w:type="pct"/>
            <w:vMerge w:val="restart"/>
            <w:tcBorders>
              <w:top w:val="nil"/>
              <w:left w:val="single" w:color="000000" w:sz="8" w:space="0"/>
              <w:bottom w:val="single" w:color="000000" w:sz="8" w:space="0"/>
              <w:right w:val="single" w:color="000000" w:sz="8" w:space="0"/>
            </w:tcBorders>
            <w:shd w:val="clear" w:color="auto" w:fill="auto"/>
            <w:noWrap/>
            <w:vAlign w:val="center"/>
          </w:tcPr>
          <w:p w14:paraId="29388CC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restart"/>
            <w:tcBorders>
              <w:top w:val="nil"/>
              <w:left w:val="single" w:color="000000" w:sz="8" w:space="0"/>
              <w:bottom w:val="single" w:color="000000" w:sz="8" w:space="0"/>
              <w:right w:val="single" w:color="000000" w:sz="8" w:space="0"/>
            </w:tcBorders>
            <w:shd w:val="clear" w:color="auto" w:fill="auto"/>
            <w:noWrap/>
            <w:vAlign w:val="center"/>
          </w:tcPr>
          <w:p w14:paraId="1E0B8A2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34F78AD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118.3</w:t>
            </w:r>
          </w:p>
        </w:tc>
        <w:tc>
          <w:tcPr>
            <w:tcW w:w="201" w:type="pct"/>
            <w:vMerge w:val="restart"/>
            <w:tcBorders>
              <w:top w:val="nil"/>
              <w:left w:val="single" w:color="000000" w:sz="8" w:space="0"/>
              <w:bottom w:val="single" w:color="000000" w:sz="8" w:space="0"/>
              <w:right w:val="single" w:color="000000" w:sz="8" w:space="0"/>
            </w:tcBorders>
            <w:shd w:val="clear" w:color="auto" w:fill="auto"/>
            <w:noWrap/>
            <w:vAlign w:val="center"/>
          </w:tcPr>
          <w:p w14:paraId="742A858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w:t>
            </w:r>
          </w:p>
        </w:tc>
        <w:tc>
          <w:tcPr>
            <w:tcW w:w="297" w:type="pct"/>
            <w:vMerge w:val="restart"/>
            <w:tcBorders>
              <w:top w:val="nil"/>
              <w:left w:val="single" w:color="000000" w:sz="8" w:space="0"/>
              <w:bottom w:val="single" w:color="000000" w:sz="8" w:space="0"/>
              <w:right w:val="single" w:color="000000" w:sz="8" w:space="0"/>
            </w:tcBorders>
            <w:shd w:val="clear" w:color="auto" w:fill="auto"/>
            <w:noWrap/>
            <w:vAlign w:val="center"/>
          </w:tcPr>
          <w:p w14:paraId="031900E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3380</w:t>
            </w:r>
          </w:p>
        </w:tc>
        <w:tc>
          <w:tcPr>
            <w:tcW w:w="492" w:type="pct"/>
            <w:vMerge w:val="restart"/>
            <w:tcBorders>
              <w:top w:val="nil"/>
              <w:left w:val="single" w:color="000000" w:sz="8" w:space="0"/>
              <w:bottom w:val="single" w:color="000000" w:sz="8" w:space="0"/>
              <w:right w:val="single" w:color="000000" w:sz="8" w:space="0"/>
            </w:tcBorders>
            <w:shd w:val="clear" w:color="auto" w:fill="auto"/>
            <w:noWrap/>
            <w:vAlign w:val="center"/>
          </w:tcPr>
          <w:p w14:paraId="4903CF4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350</w:t>
            </w:r>
          </w:p>
        </w:tc>
        <w:tc>
          <w:tcPr>
            <w:tcW w:w="325" w:type="pct"/>
            <w:vMerge w:val="restart"/>
            <w:tcBorders>
              <w:top w:val="nil"/>
              <w:left w:val="single" w:color="000000" w:sz="8" w:space="0"/>
              <w:bottom w:val="single" w:color="000000" w:sz="8" w:space="0"/>
              <w:right w:val="single" w:color="000000" w:sz="8" w:space="0"/>
            </w:tcBorders>
            <w:shd w:val="clear" w:color="auto" w:fill="auto"/>
            <w:noWrap/>
            <w:vAlign w:val="center"/>
          </w:tcPr>
          <w:p w14:paraId="2E013C4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0.61%</w:t>
            </w:r>
          </w:p>
        </w:tc>
        <w:tc>
          <w:tcPr>
            <w:tcW w:w="1725" w:type="pct"/>
            <w:tcBorders>
              <w:top w:val="nil"/>
              <w:left w:val="single" w:color="000000" w:sz="8" w:space="0"/>
              <w:bottom w:val="nil"/>
              <w:right w:val="single" w:color="000000" w:sz="8" w:space="0"/>
            </w:tcBorders>
            <w:shd w:val="clear" w:color="auto" w:fill="auto"/>
            <w:vAlign w:val="center"/>
          </w:tcPr>
          <w:p w14:paraId="5DFD341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w:t>
            </w:r>
            <w:r>
              <w:rPr>
                <w:rFonts w:hint="default" w:ascii="Times New Roman" w:hAnsi="Times New Roman" w:eastAsia="宋体" w:cs="Times New Roman"/>
                <w:i w:val="0"/>
                <w:iCs w:val="0"/>
                <w:color w:val="000000"/>
                <w:kern w:val="0"/>
                <w:sz w:val="13"/>
                <w:szCs w:val="13"/>
                <w:u w:val="none"/>
                <w:lang w:val="en-US" w:eastAsia="zh-CN" w:bidi="ar"/>
              </w:rPr>
              <w:t>厘米细粒式透水式沥青混合料</w:t>
            </w:r>
            <w:r>
              <w:rPr>
                <w:rFonts w:hint="default" w:ascii="Times New Roman" w:hAnsi="Times New Roman" w:eastAsia="等线" w:cs="Times New Roman"/>
                <w:i w:val="0"/>
                <w:iCs w:val="0"/>
                <w:color w:val="000000"/>
                <w:kern w:val="0"/>
                <w:sz w:val="13"/>
                <w:szCs w:val="13"/>
                <w:u w:val="none"/>
                <w:lang w:val="en-US" w:eastAsia="zh-CN" w:bidi="ar"/>
              </w:rPr>
              <w:t>PAC-13+SBS</w:t>
            </w:r>
            <w:r>
              <w:rPr>
                <w:rFonts w:hint="default" w:ascii="Times New Roman" w:hAnsi="Times New Roman" w:eastAsia="宋体" w:cs="Times New Roman"/>
                <w:i w:val="0"/>
                <w:iCs w:val="0"/>
                <w:color w:val="000000"/>
                <w:kern w:val="0"/>
                <w:sz w:val="13"/>
                <w:szCs w:val="13"/>
                <w:u w:val="none"/>
                <w:lang w:val="en-US" w:eastAsia="zh-CN" w:bidi="ar"/>
              </w:rPr>
              <w:t>乳化沥青粘层喷油量</w:t>
            </w:r>
            <w:r>
              <w:rPr>
                <w:rFonts w:hint="default" w:ascii="Times New Roman" w:hAnsi="Times New Roman" w:eastAsia="等线" w:cs="Times New Roman"/>
                <w:i w:val="0"/>
                <w:iCs w:val="0"/>
                <w:color w:val="000000"/>
                <w:kern w:val="0"/>
                <w:sz w:val="13"/>
                <w:szCs w:val="13"/>
                <w:u w:val="none"/>
                <w:lang w:val="en-US" w:eastAsia="zh-CN" w:bidi="ar"/>
              </w:rPr>
              <w:t>0.4kg/m²+6</w:t>
            </w:r>
            <w:r>
              <w:rPr>
                <w:rFonts w:hint="default" w:ascii="Times New Roman" w:hAnsi="Times New Roman" w:eastAsia="宋体" w:cs="Times New Roman"/>
                <w:i w:val="0"/>
                <w:iCs w:val="0"/>
                <w:color w:val="000000"/>
                <w:kern w:val="0"/>
                <w:sz w:val="13"/>
                <w:szCs w:val="13"/>
                <w:u w:val="none"/>
                <w:lang w:val="en-US" w:eastAsia="zh-CN" w:bidi="ar"/>
              </w:rPr>
              <w:t>厘米厚密实型沥青下面层</w:t>
            </w:r>
            <w:r>
              <w:rPr>
                <w:rFonts w:hint="default" w:ascii="Times New Roman" w:hAnsi="Times New Roman" w:eastAsia="等线" w:cs="Times New Roman"/>
                <w:i w:val="0"/>
                <w:iCs w:val="0"/>
                <w:color w:val="000000"/>
                <w:kern w:val="0"/>
                <w:sz w:val="13"/>
                <w:szCs w:val="13"/>
                <w:u w:val="none"/>
                <w:lang w:val="en-US" w:eastAsia="zh-CN" w:bidi="ar"/>
              </w:rPr>
              <w:t>AC-20C+0.6</w:t>
            </w:r>
            <w:r>
              <w:rPr>
                <w:rFonts w:hint="default" w:ascii="Times New Roman" w:hAnsi="Times New Roman" w:eastAsia="宋体" w:cs="Times New Roman"/>
                <w:i w:val="0"/>
                <w:iCs w:val="0"/>
                <w:color w:val="000000"/>
                <w:kern w:val="0"/>
                <w:sz w:val="13"/>
                <w:szCs w:val="13"/>
                <w:u w:val="none"/>
                <w:lang w:val="en-US" w:eastAsia="zh-CN" w:bidi="ar"/>
              </w:rPr>
              <w:t>厘米厚</w:t>
            </w:r>
            <w:r>
              <w:rPr>
                <w:rFonts w:hint="default" w:ascii="Times New Roman" w:hAnsi="Times New Roman" w:eastAsia="等线" w:cs="Times New Roman"/>
                <w:i w:val="0"/>
                <w:iCs w:val="0"/>
                <w:color w:val="000000"/>
                <w:kern w:val="0"/>
                <w:sz w:val="13"/>
                <w:szCs w:val="13"/>
                <w:u w:val="none"/>
                <w:lang w:val="en-US" w:eastAsia="zh-CN" w:bidi="ar"/>
              </w:rPr>
              <w:t>ES-2</w:t>
            </w:r>
            <w:r>
              <w:rPr>
                <w:rFonts w:hint="default" w:ascii="Times New Roman" w:hAnsi="Times New Roman" w:eastAsia="宋体" w:cs="Times New Roman"/>
                <w:i w:val="0"/>
                <w:iCs w:val="0"/>
                <w:color w:val="000000"/>
                <w:kern w:val="0"/>
                <w:sz w:val="13"/>
                <w:szCs w:val="13"/>
                <w:u w:val="none"/>
                <w:lang w:val="en-US" w:eastAsia="zh-CN" w:bidi="ar"/>
              </w:rPr>
              <w:t>乳化沥青稀浆封层</w:t>
            </w:r>
            <w:r>
              <w:rPr>
                <w:rFonts w:hint="default" w:ascii="Times New Roman" w:hAnsi="Times New Roman" w:eastAsia="等线" w:cs="Times New Roman"/>
                <w:i w:val="0"/>
                <w:iCs w:val="0"/>
                <w:color w:val="000000"/>
                <w:kern w:val="0"/>
                <w:sz w:val="13"/>
                <w:szCs w:val="13"/>
                <w:u w:val="none"/>
                <w:lang w:val="en-US" w:eastAsia="zh-CN" w:bidi="ar"/>
              </w:rPr>
              <w:t>+18</w:t>
            </w:r>
            <w:r>
              <w:rPr>
                <w:rFonts w:hint="default" w:ascii="Times New Roman" w:hAnsi="Times New Roman" w:eastAsia="宋体" w:cs="Times New Roman"/>
                <w:i w:val="0"/>
                <w:iCs w:val="0"/>
                <w:color w:val="000000"/>
                <w:kern w:val="0"/>
                <w:sz w:val="13"/>
                <w:szCs w:val="13"/>
                <w:u w:val="none"/>
                <w:lang w:val="en-US" w:eastAsia="zh-CN" w:bidi="ar"/>
              </w:rPr>
              <w:t>厘米厚</w:t>
            </w:r>
            <w:r>
              <w:rPr>
                <w:rFonts w:hint="default" w:ascii="Times New Roman" w:hAnsi="Times New Roman" w:eastAsia="等线" w:cs="Times New Roman"/>
                <w:i w:val="0"/>
                <w:iCs w:val="0"/>
                <w:color w:val="000000"/>
                <w:kern w:val="0"/>
                <w:sz w:val="13"/>
                <w:szCs w:val="13"/>
                <w:u w:val="none"/>
                <w:lang w:val="en-US" w:eastAsia="zh-CN" w:bidi="ar"/>
              </w:rPr>
              <w:t>C30</w:t>
            </w:r>
            <w:r>
              <w:rPr>
                <w:rFonts w:hint="default" w:ascii="Times New Roman" w:hAnsi="Times New Roman" w:eastAsia="宋体" w:cs="Times New Roman"/>
                <w:i w:val="0"/>
                <w:iCs w:val="0"/>
                <w:color w:val="000000"/>
                <w:kern w:val="0"/>
                <w:sz w:val="13"/>
                <w:szCs w:val="13"/>
                <w:u w:val="none"/>
                <w:lang w:val="en-US" w:eastAsia="zh-CN" w:bidi="ar"/>
              </w:rPr>
              <w:t>商砼</w:t>
            </w:r>
            <w:r>
              <w:rPr>
                <w:rFonts w:hint="default" w:ascii="Times New Roman" w:hAnsi="Times New Roman" w:eastAsia="等线" w:cs="Times New Roman"/>
                <w:i w:val="0"/>
                <w:iCs w:val="0"/>
                <w:color w:val="000000"/>
                <w:kern w:val="0"/>
                <w:sz w:val="13"/>
                <w:szCs w:val="13"/>
                <w:u w:val="none"/>
                <w:lang w:val="en-US" w:eastAsia="zh-CN" w:bidi="ar"/>
              </w:rPr>
              <w:t>+20</w:t>
            </w:r>
            <w:r>
              <w:rPr>
                <w:rFonts w:hint="default" w:ascii="Times New Roman" w:hAnsi="Times New Roman" w:eastAsia="宋体" w:cs="Times New Roman"/>
                <w:i w:val="0"/>
                <w:iCs w:val="0"/>
                <w:color w:val="000000"/>
                <w:kern w:val="0"/>
                <w:sz w:val="13"/>
                <w:szCs w:val="13"/>
                <w:u w:val="none"/>
                <w:lang w:val="en-US" w:eastAsia="zh-CN" w:bidi="ar"/>
              </w:rPr>
              <w:t>厘米级配碎石底基层。总厚度</w:t>
            </w:r>
            <w:r>
              <w:rPr>
                <w:rFonts w:hint="default" w:ascii="Times New Roman" w:hAnsi="Times New Roman" w:eastAsia="等线" w:cs="Times New Roman"/>
                <w:i w:val="0"/>
                <w:iCs w:val="0"/>
                <w:color w:val="000000"/>
                <w:kern w:val="0"/>
                <w:sz w:val="13"/>
                <w:szCs w:val="13"/>
                <w:u w:val="none"/>
                <w:lang w:val="en-US" w:eastAsia="zh-CN" w:bidi="ar"/>
              </w:rPr>
              <w:t xml:space="preserve">48cm </w:t>
            </w:r>
            <w:r>
              <w:rPr>
                <w:rFonts w:hint="default" w:ascii="Times New Roman" w:hAnsi="Times New Roman" w:eastAsia="宋体" w:cs="Times New Roman"/>
                <w:i w:val="0"/>
                <w:iCs w:val="0"/>
                <w:color w:val="000000"/>
                <w:kern w:val="0"/>
                <w:sz w:val="13"/>
                <w:szCs w:val="13"/>
                <w:u w:val="none"/>
                <w:lang w:val="en-US" w:eastAsia="zh-CN" w:bidi="ar"/>
              </w:rPr>
              <w:t>。</w:t>
            </w:r>
          </w:p>
        </w:tc>
      </w:tr>
      <w:tr w14:paraId="067376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C9D057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0070453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8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4CEA01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8E0404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27BA09D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4A1DBE7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01"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D8E612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297" w:type="pct"/>
            <w:vMerge w:val="continue"/>
            <w:tcBorders>
              <w:top w:val="nil"/>
              <w:left w:val="single" w:color="000000" w:sz="8" w:space="0"/>
              <w:bottom w:val="single" w:color="000000" w:sz="8" w:space="0"/>
              <w:right w:val="single" w:color="000000" w:sz="8" w:space="0"/>
            </w:tcBorders>
            <w:shd w:val="clear" w:color="auto" w:fill="auto"/>
            <w:noWrap/>
            <w:vAlign w:val="center"/>
          </w:tcPr>
          <w:p w14:paraId="24F5DA4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7EBB5EC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B678DC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03B8CAD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停车位采用结构为20cm厚4%水泥稳定级配碎石底垫层+20cm厚5%水泥稳定级配碎石基层+20cmC30砼面层，周边种植高大乔木</w:t>
            </w:r>
          </w:p>
        </w:tc>
      </w:tr>
      <w:tr w14:paraId="408AD9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CF9D87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35F1CFA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室外管网工程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86852F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216</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E519BE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1E4792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7982DF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216</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82AF40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207ECF9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52B5615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2063A59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5EFEC2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26014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2D587B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483B9F0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给水管网</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C4AE09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51</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0BA0A39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71D76A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E0B71C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51</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419EB50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m</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7437AED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600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EFB4AF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2A860C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0.26%</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2BDB95C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dn150PE</w:t>
            </w:r>
            <w:r>
              <w:rPr>
                <w:rFonts w:hint="default" w:ascii="Times New Roman" w:hAnsi="Times New Roman" w:eastAsia="宋体" w:cs="Times New Roman"/>
                <w:i w:val="0"/>
                <w:iCs w:val="0"/>
                <w:color w:val="000000"/>
                <w:kern w:val="0"/>
                <w:sz w:val="13"/>
                <w:szCs w:val="13"/>
                <w:u w:val="none"/>
                <w:lang w:val="en-US" w:eastAsia="zh-CN" w:bidi="ar"/>
              </w:rPr>
              <w:t>管，埋深</w:t>
            </w:r>
            <w:r>
              <w:rPr>
                <w:rFonts w:hint="default" w:ascii="Times New Roman" w:hAnsi="Times New Roman" w:eastAsia="等线" w:cs="Times New Roman"/>
                <w:i w:val="0"/>
                <w:iCs w:val="0"/>
                <w:color w:val="000000"/>
                <w:kern w:val="0"/>
                <w:sz w:val="13"/>
                <w:szCs w:val="13"/>
                <w:u w:val="none"/>
                <w:lang w:val="en-US" w:eastAsia="zh-CN" w:bidi="ar"/>
              </w:rPr>
              <w:t>0.7m</w:t>
            </w:r>
          </w:p>
        </w:tc>
      </w:tr>
      <w:tr w14:paraId="425461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34DF7A3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186C6F6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雨水管网</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1754612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B76134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0A50D3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0315014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19FE180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m</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414B1EF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600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CF4982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6D4C19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0.23%</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292076D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dn600PVC-U</w:t>
            </w:r>
            <w:r>
              <w:rPr>
                <w:rFonts w:hint="default" w:ascii="Times New Roman" w:hAnsi="Times New Roman" w:eastAsia="宋体" w:cs="Times New Roman"/>
                <w:i w:val="0"/>
                <w:iCs w:val="0"/>
                <w:color w:val="000000"/>
                <w:kern w:val="0"/>
                <w:sz w:val="13"/>
                <w:szCs w:val="13"/>
                <w:u w:val="none"/>
                <w:lang w:val="en-US" w:eastAsia="zh-CN" w:bidi="ar"/>
              </w:rPr>
              <w:t>双壁波纹排水管，埋深</w:t>
            </w:r>
            <w:r>
              <w:rPr>
                <w:rFonts w:hint="default" w:ascii="Times New Roman" w:hAnsi="Times New Roman" w:eastAsia="等线" w:cs="Times New Roman"/>
                <w:i w:val="0"/>
                <w:iCs w:val="0"/>
                <w:color w:val="000000"/>
                <w:kern w:val="0"/>
                <w:sz w:val="13"/>
                <w:szCs w:val="13"/>
                <w:u w:val="none"/>
                <w:lang w:val="en-US" w:eastAsia="zh-CN" w:bidi="ar"/>
              </w:rPr>
              <w:t>0.7m</w:t>
            </w:r>
          </w:p>
        </w:tc>
      </w:tr>
      <w:tr w14:paraId="3AE32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BBE99C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71F65A4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污水管网</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3C7D77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B08163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53F68C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3E0BBF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79E570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m</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38A26CE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600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01A47F6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750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442191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0.23%</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2B63BEC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dn500PVC-U</w:t>
            </w:r>
            <w:r>
              <w:rPr>
                <w:rFonts w:hint="default" w:ascii="Times New Roman" w:hAnsi="Times New Roman" w:eastAsia="宋体" w:cs="Times New Roman"/>
                <w:i w:val="0"/>
                <w:iCs w:val="0"/>
                <w:color w:val="000000"/>
                <w:kern w:val="0"/>
                <w:sz w:val="13"/>
                <w:szCs w:val="13"/>
                <w:u w:val="none"/>
                <w:lang w:val="en-US" w:eastAsia="zh-CN" w:bidi="ar"/>
              </w:rPr>
              <w:t>双壁波纹排水管，埋深</w:t>
            </w:r>
            <w:r>
              <w:rPr>
                <w:rFonts w:hint="default" w:ascii="Times New Roman" w:hAnsi="Times New Roman" w:eastAsia="等线" w:cs="Times New Roman"/>
                <w:i w:val="0"/>
                <w:iCs w:val="0"/>
                <w:color w:val="000000"/>
                <w:kern w:val="0"/>
                <w:sz w:val="13"/>
                <w:szCs w:val="13"/>
                <w:u w:val="none"/>
                <w:lang w:val="en-US" w:eastAsia="zh-CN" w:bidi="ar"/>
              </w:rPr>
              <w:t>0.7m</w:t>
            </w:r>
          </w:p>
        </w:tc>
      </w:tr>
      <w:tr w14:paraId="3FB191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123DCF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6176A2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通讯管网</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0AFFFF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2F1D8AD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AC0299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77F50D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40D29A2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m</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C9ED8B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500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E55281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205255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0.18%</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4D0FC4B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UPVC</w:t>
            </w:r>
            <w:r>
              <w:rPr>
                <w:rFonts w:hint="default" w:ascii="Times New Roman" w:hAnsi="Times New Roman" w:eastAsia="宋体" w:cs="Times New Roman"/>
                <w:i w:val="0"/>
                <w:iCs w:val="0"/>
                <w:color w:val="000000"/>
                <w:kern w:val="0"/>
                <w:sz w:val="13"/>
                <w:szCs w:val="13"/>
                <w:u w:val="none"/>
                <w:lang w:val="en-US" w:eastAsia="zh-CN" w:bidi="ar"/>
              </w:rPr>
              <w:t>双壁波纹管，埋深</w:t>
            </w:r>
            <w:r>
              <w:rPr>
                <w:rFonts w:hint="default" w:ascii="Times New Roman" w:hAnsi="Times New Roman" w:eastAsia="等线" w:cs="Times New Roman"/>
                <w:i w:val="0"/>
                <w:iCs w:val="0"/>
                <w:color w:val="000000"/>
                <w:kern w:val="0"/>
                <w:sz w:val="13"/>
                <w:szCs w:val="13"/>
                <w:u w:val="none"/>
                <w:lang w:val="en-US" w:eastAsia="zh-CN" w:bidi="ar"/>
              </w:rPr>
              <w:t>0.8m</w:t>
            </w:r>
          </w:p>
        </w:tc>
      </w:tr>
      <w:tr w14:paraId="43F4DC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6DBD92B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0C91BF6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righ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电力管网</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EEF13C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40</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C6F278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616D3A3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E6AA47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40</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1EA1A64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m</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21C9C85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500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F0B979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148A22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5348B30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电力电缆</w:t>
            </w:r>
          </w:p>
        </w:tc>
      </w:tr>
      <w:tr w14:paraId="2EB8C9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915EDD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C3A70D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标识标牌等室外工程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86EB61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770E00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485B0CD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406FA1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819227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67CC49C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0E26A2B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3B1801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0.17%</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43BA6B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4A12F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907C35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99F2FC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交通类标识</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4D20D7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497DC75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FFE95C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901F9A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9C267C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项</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38A1170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716CFFC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40000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C1B181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586FE4D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2386C0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E319CC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075365C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室外总导览图、区域标识等</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180311B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0C8DF30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5AEA69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FC89CA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4F06A2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项</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461DB5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EEE842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50000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2F9D558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0.03%</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AE2D00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3B7851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0179B2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73573BE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其他工程</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5F80C2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25</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993017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FEEDD7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4F66F9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45928E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项</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01BC1F6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197DCE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250000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3F550F9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0.13%</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5287813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室外灯光工程等</w:t>
            </w:r>
          </w:p>
        </w:tc>
      </w:tr>
      <w:tr w14:paraId="01030A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vAlign w:val="center"/>
          </w:tcPr>
          <w:p w14:paraId="302E31E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（四）</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64D2D1A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设备及工器具购置</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2DBEC7E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60E9DB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1231.3</w:t>
            </w: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63152D0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55D093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1231.3</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2C3208F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0831DED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29E0A79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28E329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6.30%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A461DF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r>
      <w:tr w14:paraId="4BDB07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vAlign w:val="center"/>
          </w:tcPr>
          <w:p w14:paraId="3DA137C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7C412F3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充电桩</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D275B9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87E0B0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105.6</w:t>
            </w: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4AA144C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926A5C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105.6</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44D431B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台</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02EA43C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32</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0231A30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33000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BB8F5A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0.54%</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ADBC8A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直流充电桩（单枪）120kw</w:t>
            </w:r>
          </w:p>
        </w:tc>
      </w:tr>
      <w:tr w14:paraId="133BA3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vAlign w:val="center"/>
          </w:tcPr>
          <w:p w14:paraId="0E46F13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5C8FD4A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充电桩</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B7332F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5E0B12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21.7</w:t>
            </w: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71CD88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CC6288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21.7</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65C21AC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台</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F8C5B8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31</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2DC2C6B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7000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2FF797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65584B9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慢充7kw</w:t>
            </w:r>
          </w:p>
        </w:tc>
      </w:tr>
      <w:tr w14:paraId="1C63A1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vAlign w:val="center"/>
          </w:tcPr>
          <w:p w14:paraId="4C136F6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39BDE90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电梯</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E0FCE3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1C184A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54</w:t>
            </w: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C89B04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9FCAF9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54</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14042CC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部</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1D240D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1149CC8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180000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2992A0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0.28%</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118DDFD">
            <w:pPr>
              <w:keepNext w:val="0"/>
              <w:keepLines w:val="0"/>
              <w:pageBreakBefore w:val="0"/>
              <w:widowControl/>
              <w:kinsoku/>
              <w:wordWrap/>
              <w:overflowPunct/>
              <w:topLinePunct w:val="0"/>
              <w:autoSpaceDE/>
              <w:autoSpaceDN/>
              <w:bidi w:val="0"/>
              <w:adjustRightInd/>
              <w:snapToGrid/>
              <w:spacing w:line="240" w:lineRule="atLeast"/>
              <w:ind w:firstLine="0" w:firstLineChars="0"/>
              <w:jc w:val="left"/>
              <w:rPr>
                <w:rFonts w:hint="default" w:ascii="Times New Roman" w:hAnsi="Times New Roman" w:eastAsia="等线" w:cs="Times New Roman"/>
                <w:i w:val="0"/>
                <w:iCs w:val="0"/>
                <w:color w:val="000000"/>
                <w:sz w:val="13"/>
                <w:szCs w:val="13"/>
                <w:u w:val="none"/>
              </w:rPr>
            </w:pPr>
          </w:p>
        </w:tc>
      </w:tr>
      <w:tr w14:paraId="39ACAB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vAlign w:val="center"/>
          </w:tcPr>
          <w:p w14:paraId="5129B24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5D3026A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变配电系统</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7C76EF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4435D32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450</w:t>
            </w: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CB2DB5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0B93B6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450</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30E5E2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kva</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2C20A25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3000</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BA71E8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D64AED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2.30%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15578BED">
            <w:pPr>
              <w:keepNext w:val="0"/>
              <w:keepLines w:val="0"/>
              <w:pageBreakBefore w:val="0"/>
              <w:widowControl/>
              <w:kinsoku/>
              <w:wordWrap/>
              <w:overflowPunct/>
              <w:topLinePunct w:val="0"/>
              <w:autoSpaceDE/>
              <w:autoSpaceDN/>
              <w:bidi w:val="0"/>
              <w:adjustRightInd/>
              <w:snapToGrid/>
              <w:spacing w:line="240" w:lineRule="atLeast"/>
              <w:ind w:firstLine="0" w:firstLineChars="0"/>
              <w:jc w:val="left"/>
              <w:rPr>
                <w:rFonts w:hint="default" w:ascii="Times New Roman" w:hAnsi="Times New Roman" w:eastAsia="等线" w:cs="Times New Roman"/>
                <w:i w:val="0"/>
                <w:iCs w:val="0"/>
                <w:color w:val="000000"/>
                <w:sz w:val="13"/>
                <w:szCs w:val="13"/>
                <w:u w:val="none"/>
              </w:rPr>
            </w:pPr>
          </w:p>
        </w:tc>
      </w:tr>
      <w:tr w14:paraId="323921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vAlign w:val="center"/>
          </w:tcPr>
          <w:p w14:paraId="0B395EF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71CA7E3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体育设施设备</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260643B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22CD477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300</w:t>
            </w: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461A649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084AE6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300</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2B71CE8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项</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4CD6D81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51016CA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3000000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D983AA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1.53%</w:t>
            </w:r>
          </w:p>
        </w:tc>
        <w:tc>
          <w:tcPr>
            <w:tcW w:w="1725" w:type="pct"/>
            <w:tcBorders>
              <w:top w:val="nil"/>
              <w:left w:val="single" w:color="000000" w:sz="8" w:space="0"/>
              <w:bottom w:val="single" w:color="000000" w:sz="8" w:space="0"/>
              <w:right w:val="single" w:color="000000" w:sz="8" w:space="0"/>
            </w:tcBorders>
            <w:shd w:val="clear" w:color="auto" w:fill="auto"/>
            <w:vAlign w:val="center"/>
          </w:tcPr>
          <w:p w14:paraId="54C5933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达到直接运营使用标准。包括乒乓球桌、篮球/排球/羽毛球等体育设施、灯光、音响等</w:t>
            </w:r>
          </w:p>
        </w:tc>
      </w:tr>
      <w:tr w14:paraId="48E36D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vAlign w:val="center"/>
          </w:tcPr>
          <w:p w14:paraId="36E95D9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72253DB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游泳池水处理机房</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0F82C5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6301D8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300</w:t>
            </w: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F24704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D90235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300</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357715A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项</w:t>
            </w: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B9BA3E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w:t>
            </w: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41DD4C3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3000000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254A58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1.53%</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5D714AB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净化、消毒机房，预留恒温恒湿设备条件</w:t>
            </w:r>
          </w:p>
        </w:tc>
      </w:tr>
      <w:tr w14:paraId="23ACE5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B1EA04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二</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607DF8E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工程建设其他费用</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DB8D95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92CCFB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0C7159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1742.92</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EA608D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1742.92</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4510A6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49620E2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27B6B8B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7D8371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8.91%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1C1B964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r>
      <w:tr w14:paraId="5B5F0E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64346A7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6B487C7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建设单位管理费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19616D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8DACA5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42E355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201.94</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58281B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201.94</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6CB788D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参考财建〔2016〕504号，分档内插，费率不同</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5B6B38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1.03%</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654985E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7A393F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34756D1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454A30C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工程监理费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F9E9A1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13DCE1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0CBFA0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261.49</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6F17B0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261.49</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63AC1F1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发改价格〔2015〕299号文，参考发改价格〔2007〕670号取，下浮20%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BC26C3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1.34%</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4C6756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1CB704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50BD6F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10E9C7B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工程勘察费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DBA5B6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4024280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986630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142.51</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A204BF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142.51</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5C3BC51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参考发改价格〔2015〕299号文，参考计价格〔2002〕10号取，下浮20%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285EF86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0.73%</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544D25C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10331A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A3F5F1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059F0C1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工程设计费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B9FE35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BA00F4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15E971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429.71</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918EE8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429.71</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2D511D5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参考发改价格〔2015〕299号文，参考计价格〔2002〕10号取，下浮20%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1C7598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2.20%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CB0211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含BIM费</w:t>
            </w:r>
          </w:p>
        </w:tc>
      </w:tr>
      <w:tr w14:paraId="7D017E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632EB79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4A65504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工程造价咨询服务费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D79B32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257DAF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4B5230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266.95</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0C6E7E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266.95</w:t>
            </w:r>
          </w:p>
        </w:tc>
        <w:tc>
          <w:tcPr>
            <w:tcW w:w="991" w:type="pct"/>
            <w:gridSpan w:val="3"/>
            <w:vMerge w:val="restart"/>
            <w:tcBorders>
              <w:top w:val="nil"/>
              <w:left w:val="single" w:color="000000" w:sz="8" w:space="0"/>
              <w:bottom w:val="single" w:color="000000" w:sz="8" w:space="0"/>
              <w:right w:val="single" w:color="000000" w:sz="8" w:space="0"/>
            </w:tcBorders>
            <w:shd w:val="clear" w:color="auto" w:fill="auto"/>
            <w:vAlign w:val="center"/>
          </w:tcPr>
          <w:p w14:paraId="68512A5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参考川价发〔2008〕141号取，下浮20%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228EBF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1.37%</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8CE21A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53484E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74EC92C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vAlign w:val="center"/>
          </w:tcPr>
          <w:p w14:paraId="1D631A4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编制工程量清单</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4D4591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4210AAA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77B1F7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48.64</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0570DE6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48.64</w:t>
            </w:r>
          </w:p>
        </w:tc>
        <w:tc>
          <w:tcPr>
            <w:tcW w:w="991" w:type="pct"/>
            <w:gridSpan w:val="3"/>
            <w:vMerge w:val="continue"/>
            <w:tcBorders>
              <w:top w:val="nil"/>
              <w:left w:val="single" w:color="000000" w:sz="8" w:space="0"/>
              <w:bottom w:val="single" w:color="000000" w:sz="8" w:space="0"/>
              <w:right w:val="single" w:color="000000" w:sz="8" w:space="0"/>
            </w:tcBorders>
            <w:shd w:val="clear" w:color="auto" w:fill="auto"/>
            <w:vAlign w:val="center"/>
          </w:tcPr>
          <w:p w14:paraId="0ABFEE9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639050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0.25%</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96CA3E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137319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3CF1616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vAlign w:val="center"/>
          </w:tcPr>
          <w:p w14:paraId="0C838FB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审核工程预算</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DB820C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4D8764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004933F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36.34</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03C1049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36.34</w:t>
            </w:r>
          </w:p>
        </w:tc>
        <w:tc>
          <w:tcPr>
            <w:tcW w:w="991" w:type="pct"/>
            <w:gridSpan w:val="3"/>
            <w:vMerge w:val="continue"/>
            <w:tcBorders>
              <w:top w:val="nil"/>
              <w:left w:val="single" w:color="000000" w:sz="8" w:space="0"/>
              <w:bottom w:val="single" w:color="000000" w:sz="8" w:space="0"/>
              <w:right w:val="single" w:color="000000" w:sz="8" w:space="0"/>
            </w:tcBorders>
            <w:shd w:val="clear" w:color="auto" w:fill="auto"/>
            <w:vAlign w:val="center"/>
          </w:tcPr>
          <w:p w14:paraId="3BEBDF7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40DA6C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0.19%</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19CF544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7E2B4A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6CF0982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vAlign w:val="center"/>
          </w:tcPr>
          <w:p w14:paraId="1A09416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审核竣工结算</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9846A7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2BA6AE2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EDC7B3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51.2</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BD76DC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51.2</w:t>
            </w:r>
          </w:p>
        </w:tc>
        <w:tc>
          <w:tcPr>
            <w:tcW w:w="991" w:type="pct"/>
            <w:gridSpan w:val="3"/>
            <w:vMerge w:val="continue"/>
            <w:tcBorders>
              <w:top w:val="nil"/>
              <w:left w:val="single" w:color="000000" w:sz="8" w:space="0"/>
              <w:bottom w:val="single" w:color="000000" w:sz="8" w:space="0"/>
              <w:right w:val="single" w:color="000000" w:sz="8" w:space="0"/>
            </w:tcBorders>
            <w:shd w:val="clear" w:color="auto" w:fill="auto"/>
            <w:vAlign w:val="center"/>
          </w:tcPr>
          <w:p w14:paraId="6720870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057A04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0.26%</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31D5BB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282E1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6F9772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vAlign w:val="center"/>
          </w:tcPr>
          <w:p w14:paraId="5BA29BC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施工阶段全过程造价控制</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57A264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7A64FA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CFDDEA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130.77</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8BFF84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130.77</w:t>
            </w:r>
          </w:p>
        </w:tc>
        <w:tc>
          <w:tcPr>
            <w:tcW w:w="991" w:type="pct"/>
            <w:gridSpan w:val="3"/>
            <w:vMerge w:val="continue"/>
            <w:tcBorders>
              <w:top w:val="nil"/>
              <w:left w:val="single" w:color="000000" w:sz="8" w:space="0"/>
              <w:bottom w:val="single" w:color="000000" w:sz="8" w:space="0"/>
              <w:right w:val="single" w:color="000000" w:sz="8" w:space="0"/>
            </w:tcBorders>
            <w:shd w:val="clear" w:color="auto" w:fill="auto"/>
            <w:vAlign w:val="center"/>
          </w:tcPr>
          <w:p w14:paraId="4A6B012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986327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0.67%</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AF61C1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6C4620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D3AFE8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1181482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招标代理服务费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5525C3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969030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F51D32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39.52</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FCFA15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39.52</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00AA1E1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发改价格〔2015〕299号文，参考计价格〔2002〕1980号取，下浮30%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269011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45B20E0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662C3B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55477B5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1FBCD9E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施工图纸审查费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636ECB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C062DE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DDB566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4.13</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CD1B84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4.13</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702DFD7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参考川发改价格〔2011〕323号，按建筑面积1.8元/㎡计</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3FDCFF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EF646D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4409A1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5F26F95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6A1218A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工程保险费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22550C4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5334AB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D3F229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44.89</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4CBF210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44.89</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1C86700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按建安工程费的0.3%计取</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812CC2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0.23%</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02ECE8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3B99A8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8850D9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34C077B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前期工作咨询费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004BAA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34EF38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BF92C4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37.28</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E51766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37.28</w:t>
            </w:r>
          </w:p>
        </w:tc>
        <w:tc>
          <w:tcPr>
            <w:tcW w:w="991" w:type="pct"/>
            <w:gridSpan w:val="3"/>
            <w:vMerge w:val="restart"/>
            <w:tcBorders>
              <w:top w:val="nil"/>
              <w:left w:val="single" w:color="000000" w:sz="8" w:space="0"/>
              <w:bottom w:val="single" w:color="000000" w:sz="8" w:space="0"/>
              <w:right w:val="single" w:color="000000" w:sz="8" w:space="0"/>
            </w:tcBorders>
            <w:shd w:val="clear" w:color="auto" w:fill="FFFFFF"/>
            <w:vAlign w:val="center"/>
          </w:tcPr>
          <w:p w14:paraId="1E38B34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参考计价格〔1999〕1283号，下浮20%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20E24C3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0.19%</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A9C163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60CD95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47E930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vAlign w:val="center"/>
          </w:tcPr>
          <w:p w14:paraId="4693476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可行性研究报告编制费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47EEBE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657395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A9D390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30.12</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209A143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30.12</w:t>
            </w:r>
          </w:p>
        </w:tc>
        <w:tc>
          <w:tcPr>
            <w:tcW w:w="991" w:type="pct"/>
            <w:gridSpan w:val="3"/>
            <w:vMerge w:val="continue"/>
            <w:tcBorders>
              <w:top w:val="nil"/>
              <w:left w:val="single" w:color="000000" w:sz="8" w:space="0"/>
              <w:bottom w:val="single" w:color="000000" w:sz="8" w:space="0"/>
              <w:right w:val="single" w:color="000000" w:sz="8" w:space="0"/>
            </w:tcBorders>
            <w:shd w:val="clear" w:color="auto" w:fill="FFFFFF"/>
            <w:vAlign w:val="center"/>
          </w:tcPr>
          <w:p w14:paraId="23F3AF9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095A86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0.15%</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41B376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40CE3B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7A89C48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vAlign w:val="center"/>
          </w:tcPr>
          <w:p w14:paraId="55E9C69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可行性研究报告评审费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22A3930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1A7B54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37C1A9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7.16</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2C37BC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7.16</w:t>
            </w:r>
          </w:p>
        </w:tc>
        <w:tc>
          <w:tcPr>
            <w:tcW w:w="991" w:type="pct"/>
            <w:gridSpan w:val="3"/>
            <w:vMerge w:val="continue"/>
            <w:tcBorders>
              <w:top w:val="nil"/>
              <w:left w:val="single" w:color="000000" w:sz="8" w:space="0"/>
              <w:bottom w:val="single" w:color="000000" w:sz="8" w:space="0"/>
              <w:right w:val="single" w:color="000000" w:sz="8" w:space="0"/>
            </w:tcBorders>
            <w:shd w:val="clear" w:color="auto" w:fill="FFFFFF"/>
            <w:vAlign w:val="center"/>
          </w:tcPr>
          <w:p w14:paraId="0C4FC9C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宋体" w:cs="Times New Roman"/>
                <w:i w:val="0"/>
                <w:iCs w:val="0"/>
                <w:color w:val="000000"/>
                <w:sz w:val="13"/>
                <w:szCs w:val="13"/>
                <w:u w:val="none"/>
              </w:rPr>
            </w:pP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91B188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0.04%</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7854D8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2761FB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5B5B120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58382F5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工程检测费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29A7AEC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0C8C9E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70EF307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80.97</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05A8F15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80.97</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1FC0E42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按工程费用的0.5%计取</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7ED0CA5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0.41%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84B5A0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559956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FA7280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11</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024367E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场地准备及临时设施费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01C4CDD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04D513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64E5633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80.97</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07742F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80.97</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52F317C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按工程费用的0.5%计取</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D9F74A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0.41%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195940C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061C77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3B291A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375D8D3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水土保持评价费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54F4F0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C0D6D3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07D0BA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39.82</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71BC23A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39.82</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7AE5844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保监〔2005〕22号，下浮30%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C57D77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0.20%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0E33D0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52FD37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293197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211D31E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水土保持补偿费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292231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273DC43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6BCB87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2.64</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08BC57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2.64</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7EA105A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参考甘财税法〔2022〕2号文计取</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77F3B4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775F1AA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502309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7CB3E08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14</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59CA755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地质灾害评估</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C7DEC0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566F5C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598F1CA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6.8</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060E59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6.8</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66822B7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发改办价格〔2006〕745号，下浮20%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6B15A9F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0.03%</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41B6BBE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747BCA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7340523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695EBA4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环境影响咨询费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D989BF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017C41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4B7239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4.34</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D6F414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4.34</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7F77D74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计价格〔2002〕125号，下浮20%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289A712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0.02%</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6EAB58C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72FE4D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F0AF00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16</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3306E28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临时交通组织费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2CFF14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29B5FF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77CDCD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6.67</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7FE4DC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6.67</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64CEAA8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暂估</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388C90B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0.03%</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A79F15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7E222E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541DDDE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17</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4CD7063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安全预评价费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D3CB62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7C2FD94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428A0C5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13.84</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493F65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13.84</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55E84F1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参考川职安评〔2010〕42号计取，下浮30%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5DC014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0.07%</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4E4FA1F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5A6456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ED97FE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18</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612B400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城市基础设施配套费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2BB30DE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2E878C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A5A9FA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EC234B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005C4C9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泸县人民政府关于印发《泸县城市基础设施配套费管理办法》的通知 泸县府发〔2021〕2号，免征</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E844AC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2068318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54CD37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A5F2F3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22B38D9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弃土堆场费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3B6C13C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59CADCC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1B17BC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BD3A6B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1899DB8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按10元/m³计</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21968BC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0.01%</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42ED2F3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79F6F7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101CC97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20</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048AAEC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文物勘察费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5FDEF9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0AF8BA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5B2C96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12.17</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4E3A94A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12.17</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6E24BBF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参考成办发〔2005〕23号文计取，下浮20%</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15EE928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0.06%</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4AA93B8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073E0F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D84579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21</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54A1DAB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交通影响评价费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55A479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3487FEA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031053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7.5</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693FEF5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7.5</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09FFBC3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 xml:space="preserve"> </w:t>
            </w:r>
            <w:r>
              <w:rPr>
                <w:rFonts w:hint="default" w:ascii="Times New Roman" w:hAnsi="Times New Roman" w:eastAsia="宋体" w:cs="Times New Roman"/>
                <w:i w:val="0"/>
                <w:iCs w:val="0"/>
                <w:color w:val="000000"/>
                <w:kern w:val="0"/>
                <w:sz w:val="13"/>
                <w:szCs w:val="13"/>
                <w:u w:val="none"/>
                <w:lang w:val="en-US" w:eastAsia="zh-CN" w:bidi="ar"/>
              </w:rPr>
              <w:t>参考中国城市规划设计院交通评估收费标准</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E6C899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0.04%</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529844B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592C25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4B04CF1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22</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34A780F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易地人防建设费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2B09A56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28C781E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45DF149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19.17</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2BD4DD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19.17</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5C97469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按泸定县人民防空办公室相关规定计算</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3C576A1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A3C58E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39D555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2260D3B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23</w:t>
            </w:r>
          </w:p>
        </w:tc>
        <w:tc>
          <w:tcPr>
            <w:tcW w:w="664" w:type="pct"/>
            <w:tcBorders>
              <w:top w:val="nil"/>
              <w:left w:val="single" w:color="000000" w:sz="8" w:space="0"/>
              <w:bottom w:val="single" w:color="000000" w:sz="8" w:space="0"/>
              <w:right w:val="single" w:color="000000" w:sz="8" w:space="0"/>
            </w:tcBorders>
            <w:shd w:val="clear" w:color="auto" w:fill="auto"/>
            <w:vAlign w:val="center"/>
          </w:tcPr>
          <w:p w14:paraId="4DAAE08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外接水电</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0D8952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622907D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DE2C80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38.11</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4B4591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38.11</w:t>
            </w:r>
          </w:p>
        </w:tc>
        <w:tc>
          <w:tcPr>
            <w:tcW w:w="991" w:type="pct"/>
            <w:gridSpan w:val="3"/>
            <w:tcBorders>
              <w:top w:val="nil"/>
              <w:left w:val="single" w:color="000000" w:sz="8" w:space="0"/>
              <w:bottom w:val="single" w:color="000000" w:sz="8" w:space="0"/>
              <w:right w:val="single" w:color="000000" w:sz="8" w:space="0"/>
            </w:tcBorders>
            <w:shd w:val="clear" w:color="auto" w:fill="auto"/>
            <w:vAlign w:val="center"/>
          </w:tcPr>
          <w:p w14:paraId="3552DAA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暂估</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3D643D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0.19%</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3AC6048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67D269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C1C387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三</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6E6DEC5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预备费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4DFFC3D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260E4D6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2C885E0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640.84</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489DE2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640.84</w:t>
            </w:r>
          </w:p>
        </w:tc>
        <w:tc>
          <w:tcPr>
            <w:tcW w:w="991" w:type="pct"/>
            <w:gridSpan w:val="3"/>
            <w:tcBorders>
              <w:top w:val="nil"/>
              <w:left w:val="single" w:color="000000" w:sz="8" w:space="0"/>
              <w:bottom w:val="single" w:color="000000" w:sz="8" w:space="0"/>
              <w:right w:val="single" w:color="000000" w:sz="8" w:space="0"/>
            </w:tcBorders>
            <w:shd w:val="clear" w:color="auto" w:fill="auto"/>
            <w:noWrap/>
            <w:vAlign w:val="center"/>
          </w:tcPr>
          <w:p w14:paraId="760B912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按5%计</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0760771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4.59%</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16B6201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r>
      <w:tr w14:paraId="0281E1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5AA896E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第二部分</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45008B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建设期利息和手续费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6EB5A75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4A2844B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6DBDAD6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975</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4DC16AC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975</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0B8A5B9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5DFF0DF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51B1797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325"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AA64FF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3.68%</w:t>
            </w:r>
          </w:p>
        </w:tc>
        <w:tc>
          <w:tcPr>
            <w:tcW w:w="1725"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05FBC3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r>
      <w:tr w14:paraId="4C16D4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9A8AA6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92B064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手续费</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5FC274D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1CFE835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31499C0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3FE8D0C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15</w:t>
            </w:r>
          </w:p>
        </w:tc>
        <w:tc>
          <w:tcPr>
            <w:tcW w:w="991" w:type="pct"/>
            <w:gridSpan w:val="3"/>
            <w:tcBorders>
              <w:top w:val="nil"/>
              <w:left w:val="single" w:color="000000" w:sz="8" w:space="0"/>
              <w:bottom w:val="single" w:color="000000" w:sz="8" w:space="0"/>
              <w:right w:val="single" w:color="000000" w:sz="8" w:space="0"/>
            </w:tcBorders>
            <w:shd w:val="clear" w:color="auto" w:fill="auto"/>
            <w:noWrap/>
            <w:vAlign w:val="center"/>
          </w:tcPr>
          <w:p w14:paraId="0939FC7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发债金额的0.1%</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27BFB53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0.08%</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40E738F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5F78A0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6" w:type="pct"/>
            <w:tcBorders>
              <w:top w:val="nil"/>
              <w:left w:val="single" w:color="000000" w:sz="8" w:space="0"/>
              <w:bottom w:val="single" w:color="000000" w:sz="8" w:space="0"/>
              <w:right w:val="single" w:color="000000" w:sz="8" w:space="0"/>
            </w:tcBorders>
            <w:shd w:val="clear" w:color="auto" w:fill="auto"/>
            <w:noWrap/>
            <w:vAlign w:val="center"/>
          </w:tcPr>
          <w:p w14:paraId="0A1EA5D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2341E4B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建设期利息</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781AA09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211F2D5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12B2771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960</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1143ECE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960</w:t>
            </w:r>
          </w:p>
        </w:tc>
        <w:tc>
          <w:tcPr>
            <w:tcW w:w="991" w:type="pct"/>
            <w:gridSpan w:val="3"/>
            <w:tcBorders>
              <w:top w:val="nil"/>
              <w:left w:val="single" w:color="000000" w:sz="8" w:space="0"/>
              <w:bottom w:val="single" w:color="000000" w:sz="8" w:space="0"/>
              <w:right w:val="single" w:color="000000" w:sz="8" w:space="0"/>
            </w:tcBorders>
            <w:shd w:val="clear" w:color="auto" w:fill="auto"/>
            <w:noWrap/>
            <w:vAlign w:val="center"/>
          </w:tcPr>
          <w:p w14:paraId="305A8FE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3"/>
                <w:szCs w:val="13"/>
                <w:u w:val="none"/>
              </w:rPr>
            </w:pPr>
            <w:r>
              <w:rPr>
                <w:rFonts w:hint="default" w:ascii="Times New Roman" w:hAnsi="Times New Roman" w:eastAsia="宋体" w:cs="Times New Roman"/>
                <w:i w:val="0"/>
                <w:iCs w:val="0"/>
                <w:color w:val="000000"/>
                <w:kern w:val="0"/>
                <w:sz w:val="13"/>
                <w:szCs w:val="13"/>
                <w:u w:val="none"/>
                <w:lang w:val="en-US" w:eastAsia="zh-CN" w:bidi="ar"/>
              </w:rPr>
              <w:t>利率3.2%</w:t>
            </w: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4AE51F4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3.60%</w:t>
            </w:r>
          </w:p>
        </w:tc>
        <w:tc>
          <w:tcPr>
            <w:tcW w:w="1725" w:type="pct"/>
            <w:tcBorders>
              <w:top w:val="nil"/>
              <w:left w:val="single" w:color="000000" w:sz="8" w:space="0"/>
              <w:bottom w:val="single" w:color="000000" w:sz="8" w:space="0"/>
              <w:right w:val="single" w:color="000000" w:sz="8" w:space="0"/>
            </w:tcBorders>
            <w:shd w:val="clear" w:color="auto" w:fill="auto"/>
            <w:noWrap/>
            <w:vAlign w:val="center"/>
          </w:tcPr>
          <w:p w14:paraId="0AE55B7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3"/>
                <w:szCs w:val="13"/>
                <w:u w:val="none"/>
              </w:rPr>
            </w:pPr>
          </w:p>
        </w:tc>
      </w:tr>
      <w:tr w14:paraId="39DD61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940" w:type="pct"/>
            <w:gridSpan w:val="2"/>
            <w:tcBorders>
              <w:top w:val="nil"/>
              <w:left w:val="single" w:color="000000" w:sz="8" w:space="0"/>
              <w:bottom w:val="single" w:color="000000" w:sz="8" w:space="0"/>
              <w:right w:val="single" w:color="000000" w:sz="8" w:space="0"/>
            </w:tcBorders>
            <w:shd w:val="clear" w:color="auto" w:fill="auto"/>
            <w:noWrap/>
            <w:vAlign w:val="center"/>
          </w:tcPr>
          <w:p w14:paraId="1C5594E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3"/>
                <w:szCs w:val="13"/>
                <w:u w:val="none"/>
              </w:rPr>
            </w:pPr>
            <w:r>
              <w:rPr>
                <w:rFonts w:hint="default" w:ascii="Times New Roman" w:hAnsi="Times New Roman" w:eastAsia="宋体" w:cs="Times New Roman"/>
                <w:b/>
                <w:bCs/>
                <w:i w:val="0"/>
                <w:iCs w:val="0"/>
                <w:color w:val="000000"/>
                <w:kern w:val="0"/>
                <w:sz w:val="13"/>
                <w:szCs w:val="13"/>
                <w:u w:val="none"/>
                <w:lang w:val="en-US" w:eastAsia="zh-CN" w:bidi="ar"/>
              </w:rPr>
              <w:t>项目总投资</w:t>
            </w:r>
          </w:p>
        </w:tc>
        <w:tc>
          <w:tcPr>
            <w:tcW w:w="281" w:type="pct"/>
            <w:tcBorders>
              <w:top w:val="nil"/>
              <w:left w:val="single" w:color="000000" w:sz="8" w:space="0"/>
              <w:bottom w:val="single" w:color="000000" w:sz="8" w:space="0"/>
              <w:right w:val="single" w:color="000000" w:sz="8" w:space="0"/>
            </w:tcBorders>
            <w:shd w:val="clear" w:color="auto" w:fill="auto"/>
            <w:noWrap/>
            <w:vAlign w:val="center"/>
          </w:tcPr>
          <w:p w14:paraId="154A099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14962.54</w:t>
            </w:r>
          </w:p>
        </w:tc>
        <w:tc>
          <w:tcPr>
            <w:tcW w:w="228" w:type="pct"/>
            <w:tcBorders>
              <w:top w:val="nil"/>
              <w:left w:val="single" w:color="000000" w:sz="8" w:space="0"/>
              <w:bottom w:val="single" w:color="000000" w:sz="8" w:space="0"/>
              <w:right w:val="single" w:color="000000" w:sz="8" w:space="0"/>
            </w:tcBorders>
            <w:shd w:val="clear" w:color="auto" w:fill="auto"/>
            <w:noWrap/>
            <w:vAlign w:val="center"/>
          </w:tcPr>
          <w:p w14:paraId="0A66B31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1231.3</w:t>
            </w:r>
          </w:p>
        </w:tc>
        <w:tc>
          <w:tcPr>
            <w:tcW w:w="242" w:type="pct"/>
            <w:tcBorders>
              <w:top w:val="nil"/>
              <w:left w:val="single" w:color="000000" w:sz="8" w:space="0"/>
              <w:bottom w:val="single" w:color="000000" w:sz="8" w:space="0"/>
              <w:right w:val="single" w:color="000000" w:sz="8" w:space="0"/>
            </w:tcBorders>
            <w:shd w:val="clear" w:color="auto" w:fill="auto"/>
            <w:noWrap/>
            <w:vAlign w:val="center"/>
          </w:tcPr>
          <w:p w14:paraId="67CFAF1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3358.76</w:t>
            </w:r>
          </w:p>
        </w:tc>
        <w:tc>
          <w:tcPr>
            <w:tcW w:w="264" w:type="pct"/>
            <w:tcBorders>
              <w:top w:val="nil"/>
              <w:left w:val="single" w:color="000000" w:sz="8" w:space="0"/>
              <w:bottom w:val="single" w:color="000000" w:sz="8" w:space="0"/>
              <w:right w:val="single" w:color="000000" w:sz="8" w:space="0"/>
            </w:tcBorders>
            <w:shd w:val="clear" w:color="auto" w:fill="auto"/>
            <w:noWrap/>
            <w:vAlign w:val="center"/>
          </w:tcPr>
          <w:p w14:paraId="53C0592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3"/>
                <w:szCs w:val="13"/>
                <w:u w:val="none"/>
              </w:rPr>
            </w:pPr>
            <w:r>
              <w:rPr>
                <w:rFonts w:hint="default" w:ascii="Times New Roman" w:hAnsi="Times New Roman" w:eastAsia="等线" w:cs="Times New Roman"/>
                <w:b/>
                <w:bCs/>
                <w:i w:val="0"/>
                <w:iCs w:val="0"/>
                <w:color w:val="000000"/>
                <w:kern w:val="0"/>
                <w:sz w:val="13"/>
                <w:szCs w:val="13"/>
                <w:u w:val="none"/>
                <w:lang w:val="en-US" w:eastAsia="zh-CN" w:bidi="ar"/>
              </w:rPr>
              <w:t>19552.6</w:t>
            </w:r>
          </w:p>
        </w:tc>
        <w:tc>
          <w:tcPr>
            <w:tcW w:w="201" w:type="pct"/>
            <w:tcBorders>
              <w:top w:val="nil"/>
              <w:left w:val="single" w:color="000000" w:sz="8" w:space="0"/>
              <w:bottom w:val="single" w:color="000000" w:sz="8" w:space="0"/>
              <w:right w:val="single" w:color="000000" w:sz="8" w:space="0"/>
            </w:tcBorders>
            <w:shd w:val="clear" w:color="auto" w:fill="auto"/>
            <w:noWrap/>
            <w:vAlign w:val="center"/>
          </w:tcPr>
          <w:p w14:paraId="75349FF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297" w:type="pct"/>
            <w:tcBorders>
              <w:top w:val="nil"/>
              <w:left w:val="single" w:color="000000" w:sz="8" w:space="0"/>
              <w:bottom w:val="single" w:color="000000" w:sz="8" w:space="0"/>
              <w:right w:val="single" w:color="000000" w:sz="8" w:space="0"/>
            </w:tcBorders>
            <w:shd w:val="clear" w:color="auto" w:fill="auto"/>
            <w:noWrap/>
            <w:vAlign w:val="center"/>
          </w:tcPr>
          <w:p w14:paraId="1015151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492" w:type="pct"/>
            <w:tcBorders>
              <w:top w:val="nil"/>
              <w:left w:val="single" w:color="000000" w:sz="8" w:space="0"/>
              <w:bottom w:val="single" w:color="000000" w:sz="8" w:space="0"/>
              <w:right w:val="single" w:color="000000" w:sz="8" w:space="0"/>
            </w:tcBorders>
            <w:shd w:val="clear" w:color="auto" w:fill="auto"/>
            <w:noWrap/>
            <w:vAlign w:val="center"/>
          </w:tcPr>
          <w:p w14:paraId="398C83D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3"/>
                <w:szCs w:val="13"/>
                <w:u w:val="none"/>
              </w:rPr>
            </w:pPr>
          </w:p>
        </w:tc>
        <w:tc>
          <w:tcPr>
            <w:tcW w:w="325" w:type="pct"/>
            <w:tcBorders>
              <w:top w:val="nil"/>
              <w:left w:val="single" w:color="000000" w:sz="8" w:space="0"/>
              <w:bottom w:val="single" w:color="000000" w:sz="8" w:space="0"/>
              <w:right w:val="single" w:color="000000" w:sz="8" w:space="0"/>
            </w:tcBorders>
            <w:shd w:val="clear" w:color="auto" w:fill="auto"/>
            <w:noWrap/>
            <w:vAlign w:val="center"/>
          </w:tcPr>
          <w:p w14:paraId="57BFF33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3"/>
                <w:szCs w:val="13"/>
                <w:u w:val="none"/>
              </w:rPr>
            </w:pPr>
            <w:r>
              <w:rPr>
                <w:rFonts w:hint="default" w:ascii="Times New Roman" w:hAnsi="Times New Roman" w:eastAsia="等线" w:cs="Times New Roman"/>
                <w:i w:val="0"/>
                <w:iCs w:val="0"/>
                <w:color w:val="000000"/>
                <w:kern w:val="0"/>
                <w:sz w:val="13"/>
                <w:szCs w:val="13"/>
                <w:u w:val="none"/>
                <w:lang w:val="en-US" w:eastAsia="zh-CN" w:bidi="ar"/>
              </w:rPr>
              <w:t>100.00%</w:t>
            </w:r>
          </w:p>
        </w:tc>
        <w:tc>
          <w:tcPr>
            <w:tcW w:w="1725"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832C270">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8"/>
                <w:szCs w:val="18"/>
                <w:u w:val="none"/>
              </w:rPr>
            </w:pPr>
          </w:p>
        </w:tc>
      </w:tr>
    </w:tbl>
    <w:p w14:paraId="1EF2F89E">
      <w:pPr>
        <w:spacing w:before="0" w:after="0" w:line="0" w:lineRule="atLeast"/>
        <w:ind w:firstLine="0" w:firstLineChars="0"/>
        <w:jc w:val="right"/>
        <w:rPr>
          <w:rFonts w:hint="default" w:ascii="Times New Roman" w:hAnsi="Times New Roman" w:cs="Times New Roman"/>
          <w:b/>
          <w:bCs/>
          <w:szCs w:val="28"/>
          <w:highlight w:val="none"/>
        </w:rPr>
      </w:pPr>
    </w:p>
    <w:p w14:paraId="7A27F7FA">
      <w:pPr>
        <w:pStyle w:val="17"/>
        <w:sectPr>
          <w:headerReference r:id="rId6" w:type="first"/>
          <w:headerReference r:id="rId4" w:type="default"/>
          <w:footerReference r:id="rId7" w:type="default"/>
          <w:headerReference r:id="rId5" w:type="even"/>
          <w:footerReference r:id="rId8" w:type="even"/>
          <w:pgSz w:w="16838" w:h="11906" w:orient="landscape"/>
          <w:pgMar w:top="1644" w:right="2098" w:bottom="1418" w:left="1588" w:header="851" w:footer="992" w:gutter="0"/>
          <w:pgNumType w:fmt="decimal"/>
          <w:cols w:space="720" w:num="1"/>
          <w:docGrid w:type="lines" w:linePitch="435" w:charSpace="0"/>
        </w:sectPr>
      </w:pPr>
    </w:p>
    <w:p w14:paraId="7976F5E2">
      <w:pPr>
        <w:spacing w:line="560" w:lineRule="exact"/>
        <w:ind w:firstLine="643" w:firstLineChars="200"/>
        <w:rPr>
          <w:rFonts w:ascii="楷体_GB2312" w:eastAsia="楷体_GB2312"/>
          <w:b/>
          <w:sz w:val="32"/>
          <w:szCs w:val="32"/>
        </w:rPr>
      </w:pPr>
      <w:r>
        <w:rPr>
          <w:rFonts w:hint="eastAsia" w:ascii="楷体_GB2312" w:eastAsia="楷体_GB2312"/>
          <w:b/>
          <w:sz w:val="32"/>
          <w:szCs w:val="32"/>
        </w:rPr>
        <w:t>（二）资金筹措方案</w:t>
      </w:r>
    </w:p>
    <w:p w14:paraId="5B8B102C">
      <w:pPr>
        <w:spacing w:line="560" w:lineRule="exact"/>
        <w:ind w:firstLine="643" w:firstLineChars="200"/>
        <w:rPr>
          <w:rFonts w:hint="eastAsia" w:ascii="仿宋_GB2312" w:eastAsia="仿宋_GB2312"/>
          <w:b/>
          <w:sz w:val="32"/>
          <w:szCs w:val="32"/>
        </w:rPr>
      </w:pPr>
      <w:r>
        <w:rPr>
          <w:rFonts w:hint="eastAsia" w:ascii="仿宋_GB2312" w:eastAsia="仿宋_GB2312"/>
          <w:b/>
          <w:sz w:val="32"/>
          <w:szCs w:val="32"/>
        </w:rPr>
        <w:t>1.</w:t>
      </w:r>
      <w:r>
        <w:rPr>
          <w:rFonts w:hint="eastAsia"/>
        </w:rPr>
        <w:t xml:space="preserve"> </w:t>
      </w:r>
      <w:r>
        <w:rPr>
          <w:rFonts w:hint="eastAsia" w:ascii="仿宋_GB2312" w:eastAsia="仿宋_GB2312"/>
          <w:b/>
          <w:sz w:val="32"/>
          <w:szCs w:val="32"/>
        </w:rPr>
        <w:t>资金筹集情况</w:t>
      </w:r>
    </w:p>
    <w:p w14:paraId="0F1AE327">
      <w:pPr>
        <w:pageBreakBefore w:val="0"/>
        <w:kinsoku/>
        <w:wordWrap/>
        <w:overflowPunct/>
        <w:topLinePunct w:val="0"/>
        <w:autoSpaceDE/>
        <w:autoSpaceDN/>
        <w:bidi w:val="0"/>
        <w:adjustRightInd/>
        <w:snapToGrid/>
        <w:spacing w:line="360" w:lineRule="auto"/>
        <w:ind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资本金来源：资本金均来源于财政资金，项目资本金4552.60万元，占项目总投资的23.28%，资本金为地方自筹资金。</w:t>
      </w:r>
    </w:p>
    <w:p w14:paraId="513E8282">
      <w:pPr>
        <w:pageBreakBefore w:val="0"/>
        <w:kinsoku/>
        <w:wordWrap/>
        <w:overflowPunct/>
        <w:topLinePunct w:val="0"/>
        <w:autoSpaceDE/>
        <w:autoSpaceDN/>
        <w:bidi w:val="0"/>
        <w:adjustRightInd/>
        <w:snapToGrid/>
        <w:spacing w:line="360" w:lineRule="auto"/>
        <w:ind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融资来源：融资来源于地方政府专项债，融资金额15000.00万元。</w:t>
      </w:r>
    </w:p>
    <w:p w14:paraId="6FB7D319">
      <w:pPr>
        <w:spacing w:line="560" w:lineRule="exact"/>
        <w:ind w:firstLine="643" w:firstLineChars="200"/>
        <w:rPr>
          <w:rFonts w:hint="eastAsia" w:ascii="仿宋_GB2312" w:hAnsi="Calibri" w:eastAsia="仿宋_GB2312" w:cs="Times New Roman"/>
          <w:b/>
          <w:sz w:val="32"/>
          <w:szCs w:val="32"/>
        </w:rPr>
      </w:pPr>
      <w:r>
        <w:rPr>
          <w:rFonts w:hint="eastAsia" w:ascii="仿宋_GB2312" w:hAnsi="Calibri" w:eastAsia="仿宋_GB2312" w:cs="Times New Roman"/>
          <w:b/>
          <w:sz w:val="32"/>
          <w:szCs w:val="32"/>
          <w:lang w:val="en-US" w:eastAsia="zh-CN"/>
        </w:rPr>
        <w:t>2．</w:t>
      </w:r>
      <w:r>
        <w:rPr>
          <w:rFonts w:hint="eastAsia" w:ascii="仿宋_GB2312" w:hAnsi="Calibri" w:eastAsia="仿宋_GB2312" w:cs="Times New Roman"/>
          <w:b/>
          <w:sz w:val="32"/>
          <w:szCs w:val="32"/>
        </w:rPr>
        <w:t>资金使用计划</w:t>
      </w:r>
    </w:p>
    <w:p w14:paraId="29F5FAA5">
      <w:pPr>
        <w:pageBreakBefore w:val="0"/>
        <w:kinsoku/>
        <w:wordWrap/>
        <w:overflowPunct/>
        <w:topLinePunct w:val="0"/>
        <w:autoSpaceDE/>
        <w:autoSpaceDN/>
        <w:bidi w:val="0"/>
        <w:adjustRightInd/>
        <w:snapToGrid/>
        <w:spacing w:line="360" w:lineRule="auto"/>
        <w:ind w:firstLine="640" w:firstLineChars="200"/>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项目所筹资金将根据项目实施计划和实施建设进度来进行合理分配，且将全部投资于本项目，具体数额应当根据进度支出。在保证项目工程投资资金充足的情况下，充分利用且不浪费当年度专项债券融资额度。按照建设进度，总投资计划分2个年度投入，具体的资金使用、筹措计划见下表3-3：</w:t>
      </w:r>
    </w:p>
    <w:p w14:paraId="56E2ACDA">
      <w:pPr>
        <w:pageBreakBefore w:val="0"/>
        <w:kinsoku/>
        <w:wordWrap/>
        <w:overflowPunct/>
        <w:topLinePunct w:val="0"/>
        <w:autoSpaceDE/>
        <w:autoSpaceDN/>
        <w:bidi w:val="0"/>
        <w:adjustRightInd/>
        <w:snapToGrid/>
        <w:spacing w:line="360" w:lineRule="auto"/>
        <w:ind w:firstLine="640" w:firstLineChars="200"/>
        <w:jc w:val="center"/>
        <w:textAlignment w:val="auto"/>
        <w:rPr>
          <w:rFonts w:hint="default" w:ascii="仿宋_GB2312" w:hAnsi="仿宋_GB2312" w:eastAsia="仿宋_GB2312" w:cs="仿宋_GB2312"/>
          <w:b w:val="0"/>
          <w:bCs w:val="0"/>
          <w:sz w:val="32"/>
          <w:szCs w:val="32"/>
          <w:highlight w:val="none"/>
          <w:lang w:val="en-US" w:eastAsia="zh-CN"/>
        </w:rPr>
      </w:pPr>
      <w:r>
        <w:rPr>
          <w:rFonts w:hint="default" w:ascii="仿宋_GB2312" w:hAnsi="仿宋_GB2312" w:eastAsia="仿宋_GB2312" w:cs="仿宋_GB2312"/>
          <w:b w:val="0"/>
          <w:bCs w:val="0"/>
          <w:sz w:val="32"/>
          <w:szCs w:val="32"/>
          <w:highlight w:val="none"/>
          <w:lang w:val="en-US" w:eastAsia="zh-CN"/>
        </w:rPr>
        <w:t>表3-3项目资金使用与筹措表</w:t>
      </w:r>
    </w:p>
    <w:p w14:paraId="12716E23">
      <w:pPr>
        <w:bidi w:val="0"/>
        <w:jc w:val="right"/>
        <w:rPr>
          <w:rFonts w:hint="eastAsia" w:ascii="仿宋_GB2312" w:hAnsi="仿宋_GB2312" w:eastAsia="仿宋_GB2312" w:cs="仿宋_GB2312"/>
          <w:highlight w:val="none"/>
        </w:rPr>
      </w:pPr>
      <w:r>
        <w:rPr>
          <w:rFonts w:hint="eastAsia" w:ascii="仿宋_GB2312" w:hAnsi="仿宋_GB2312" w:eastAsia="仿宋_GB2312" w:cs="仿宋_GB2312"/>
          <w:highlight w:val="none"/>
        </w:rPr>
        <w:t>单位：万元</w:t>
      </w:r>
    </w:p>
    <w:tbl>
      <w:tblPr>
        <w:tblStyle w:val="14"/>
        <w:tblW w:w="8460" w:type="dxa"/>
        <w:tblInd w:w="93"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80"/>
        <w:gridCol w:w="2286"/>
        <w:gridCol w:w="1419"/>
        <w:gridCol w:w="1740"/>
        <w:gridCol w:w="1935"/>
      </w:tblGrid>
      <w:tr w14:paraId="389177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080" w:type="dxa"/>
            <w:vMerge w:val="restart"/>
            <w:tcBorders>
              <w:bottom w:val="single" w:color="000000" w:sz="8" w:space="0"/>
              <w:right w:val="single" w:color="000000" w:sz="8" w:space="0"/>
            </w:tcBorders>
            <w:shd w:val="clear" w:color="auto" w:fill="auto"/>
            <w:noWrap/>
            <w:vAlign w:val="center"/>
          </w:tcPr>
          <w:p w14:paraId="7638106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2"/>
                <w:szCs w:val="22"/>
                <w:u w:val="none"/>
              </w:rPr>
            </w:pPr>
            <w:r>
              <w:rPr>
                <w:rFonts w:hint="default" w:ascii="Times New Roman" w:hAnsi="Times New Roman" w:eastAsia="仿宋" w:cs="Times New Roman"/>
                <w:b/>
                <w:bCs/>
                <w:i w:val="0"/>
                <w:iCs w:val="0"/>
                <w:color w:val="000000"/>
                <w:kern w:val="0"/>
                <w:sz w:val="22"/>
                <w:szCs w:val="22"/>
                <w:u w:val="none"/>
                <w:lang w:val="en-US" w:eastAsia="zh-CN" w:bidi="ar"/>
              </w:rPr>
              <w:t>序号</w:t>
            </w:r>
          </w:p>
        </w:tc>
        <w:tc>
          <w:tcPr>
            <w:tcW w:w="2286" w:type="dxa"/>
            <w:vMerge w:val="restart"/>
            <w:tcBorders>
              <w:left w:val="nil"/>
              <w:bottom w:val="single" w:color="000000" w:sz="8" w:space="0"/>
              <w:right w:val="single" w:color="000000" w:sz="8" w:space="0"/>
            </w:tcBorders>
            <w:shd w:val="clear" w:color="auto" w:fill="auto"/>
            <w:vAlign w:val="center"/>
          </w:tcPr>
          <w:p w14:paraId="3608DB6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2"/>
                <w:szCs w:val="22"/>
                <w:u w:val="none"/>
              </w:rPr>
            </w:pPr>
            <w:r>
              <w:rPr>
                <w:rFonts w:hint="default" w:ascii="Times New Roman" w:hAnsi="Times New Roman" w:eastAsia="仿宋" w:cs="Times New Roman"/>
                <w:b/>
                <w:bCs/>
                <w:i w:val="0"/>
                <w:iCs w:val="0"/>
                <w:color w:val="000000"/>
                <w:kern w:val="0"/>
                <w:sz w:val="22"/>
                <w:szCs w:val="22"/>
                <w:u w:val="none"/>
                <w:lang w:val="en-US" w:eastAsia="zh-CN" w:bidi="ar"/>
              </w:rPr>
              <w:t>项  目</w:t>
            </w:r>
          </w:p>
        </w:tc>
        <w:tc>
          <w:tcPr>
            <w:tcW w:w="1419" w:type="dxa"/>
            <w:vMerge w:val="restart"/>
            <w:tcBorders>
              <w:left w:val="nil"/>
              <w:bottom w:val="single" w:color="000000" w:sz="8" w:space="0"/>
              <w:right w:val="single" w:color="000000" w:sz="8" w:space="0"/>
            </w:tcBorders>
            <w:shd w:val="clear" w:color="auto" w:fill="auto"/>
            <w:noWrap/>
            <w:vAlign w:val="center"/>
          </w:tcPr>
          <w:p w14:paraId="5D714F5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2"/>
                <w:szCs w:val="22"/>
                <w:u w:val="none"/>
              </w:rPr>
            </w:pPr>
            <w:r>
              <w:rPr>
                <w:rFonts w:hint="default" w:ascii="Times New Roman" w:hAnsi="Times New Roman" w:eastAsia="仿宋" w:cs="Times New Roman"/>
                <w:b/>
                <w:bCs/>
                <w:i w:val="0"/>
                <w:iCs w:val="0"/>
                <w:color w:val="000000"/>
                <w:kern w:val="0"/>
                <w:sz w:val="22"/>
                <w:szCs w:val="22"/>
                <w:u w:val="none"/>
                <w:lang w:val="en-US" w:eastAsia="zh-CN" w:bidi="ar"/>
              </w:rPr>
              <w:t>合计</w:t>
            </w:r>
          </w:p>
        </w:tc>
        <w:tc>
          <w:tcPr>
            <w:tcW w:w="3675" w:type="dxa"/>
            <w:gridSpan w:val="2"/>
            <w:tcBorders>
              <w:left w:val="single" w:color="000000" w:sz="8" w:space="0"/>
              <w:bottom w:val="single" w:color="000000" w:sz="8" w:space="0"/>
            </w:tcBorders>
            <w:shd w:val="clear" w:color="auto" w:fill="auto"/>
            <w:vAlign w:val="center"/>
          </w:tcPr>
          <w:p w14:paraId="6205300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2"/>
                <w:szCs w:val="22"/>
                <w:u w:val="none"/>
              </w:rPr>
            </w:pPr>
            <w:r>
              <w:rPr>
                <w:rFonts w:hint="default" w:ascii="Times New Roman" w:hAnsi="Times New Roman" w:eastAsia="仿宋" w:cs="Times New Roman"/>
                <w:i w:val="0"/>
                <w:iCs w:val="0"/>
                <w:color w:val="000000"/>
                <w:kern w:val="0"/>
                <w:sz w:val="22"/>
                <w:szCs w:val="22"/>
                <w:u w:val="none"/>
                <w:lang w:val="en-US" w:eastAsia="zh-CN" w:bidi="ar"/>
              </w:rPr>
              <w:t>建设期</w:t>
            </w:r>
          </w:p>
        </w:tc>
      </w:tr>
      <w:tr w14:paraId="614C93D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080" w:type="dxa"/>
            <w:vMerge w:val="continue"/>
            <w:tcBorders>
              <w:top w:val="nil"/>
              <w:bottom w:val="single" w:color="000000" w:sz="8" w:space="0"/>
              <w:right w:val="single" w:color="000000" w:sz="8" w:space="0"/>
            </w:tcBorders>
            <w:shd w:val="clear" w:color="auto" w:fill="auto"/>
            <w:noWrap/>
            <w:vAlign w:val="center"/>
          </w:tcPr>
          <w:p w14:paraId="5109F13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 w:cs="Times New Roman"/>
                <w:b/>
                <w:bCs/>
                <w:i w:val="0"/>
                <w:iCs w:val="0"/>
                <w:color w:val="000000"/>
                <w:sz w:val="22"/>
                <w:szCs w:val="22"/>
                <w:u w:val="none"/>
              </w:rPr>
            </w:pPr>
          </w:p>
        </w:tc>
        <w:tc>
          <w:tcPr>
            <w:tcW w:w="2286" w:type="dxa"/>
            <w:vMerge w:val="continue"/>
            <w:tcBorders>
              <w:top w:val="nil"/>
              <w:left w:val="nil"/>
              <w:bottom w:val="single" w:color="000000" w:sz="8" w:space="0"/>
              <w:right w:val="single" w:color="000000" w:sz="8" w:space="0"/>
            </w:tcBorders>
            <w:shd w:val="clear" w:color="auto" w:fill="auto"/>
            <w:vAlign w:val="center"/>
          </w:tcPr>
          <w:p w14:paraId="0022A3B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 w:cs="Times New Roman"/>
                <w:b/>
                <w:bCs/>
                <w:i w:val="0"/>
                <w:iCs w:val="0"/>
                <w:color w:val="000000"/>
                <w:sz w:val="22"/>
                <w:szCs w:val="22"/>
                <w:u w:val="none"/>
              </w:rPr>
            </w:pPr>
          </w:p>
        </w:tc>
        <w:tc>
          <w:tcPr>
            <w:tcW w:w="1419" w:type="dxa"/>
            <w:vMerge w:val="continue"/>
            <w:tcBorders>
              <w:top w:val="nil"/>
              <w:left w:val="nil"/>
              <w:bottom w:val="single" w:color="000000" w:sz="8" w:space="0"/>
              <w:right w:val="single" w:color="000000" w:sz="8" w:space="0"/>
            </w:tcBorders>
            <w:shd w:val="clear" w:color="auto" w:fill="auto"/>
            <w:noWrap/>
            <w:vAlign w:val="center"/>
          </w:tcPr>
          <w:p w14:paraId="51C8AA9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 w:cs="Times New Roman"/>
                <w:b/>
                <w:bCs/>
                <w:i w:val="0"/>
                <w:iCs w:val="0"/>
                <w:color w:val="000000"/>
                <w:sz w:val="22"/>
                <w:szCs w:val="22"/>
                <w:u w:val="none"/>
              </w:rPr>
            </w:pPr>
          </w:p>
        </w:tc>
        <w:tc>
          <w:tcPr>
            <w:tcW w:w="1740" w:type="dxa"/>
            <w:tcBorders>
              <w:top w:val="nil"/>
              <w:left w:val="nil"/>
              <w:bottom w:val="single" w:color="000000" w:sz="8" w:space="0"/>
              <w:right w:val="single" w:color="000000" w:sz="8" w:space="0"/>
            </w:tcBorders>
            <w:shd w:val="clear" w:color="auto" w:fill="auto"/>
            <w:vAlign w:val="center"/>
          </w:tcPr>
          <w:p w14:paraId="31F0EB2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2"/>
                <w:szCs w:val="22"/>
                <w:u w:val="none"/>
              </w:rPr>
            </w:pPr>
            <w:r>
              <w:rPr>
                <w:rFonts w:hint="default" w:ascii="Times New Roman" w:hAnsi="Times New Roman" w:eastAsia="仿宋" w:cs="Times New Roman"/>
                <w:i w:val="0"/>
                <w:iCs w:val="0"/>
                <w:color w:val="000000"/>
                <w:kern w:val="0"/>
                <w:sz w:val="22"/>
                <w:szCs w:val="22"/>
                <w:u w:val="none"/>
                <w:lang w:val="en-US" w:eastAsia="zh-CN" w:bidi="ar"/>
              </w:rPr>
              <w:t>第1年</w:t>
            </w:r>
          </w:p>
        </w:tc>
        <w:tc>
          <w:tcPr>
            <w:tcW w:w="1935" w:type="dxa"/>
            <w:tcBorders>
              <w:top w:val="nil"/>
              <w:left w:val="nil"/>
              <w:bottom w:val="single" w:color="000000" w:sz="8" w:space="0"/>
            </w:tcBorders>
            <w:shd w:val="clear" w:color="auto" w:fill="auto"/>
            <w:vAlign w:val="center"/>
          </w:tcPr>
          <w:p w14:paraId="00DD064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2"/>
                <w:szCs w:val="22"/>
                <w:u w:val="none"/>
              </w:rPr>
            </w:pPr>
            <w:r>
              <w:rPr>
                <w:rFonts w:hint="default" w:ascii="Times New Roman" w:hAnsi="Times New Roman" w:eastAsia="仿宋" w:cs="Times New Roman"/>
                <w:i w:val="0"/>
                <w:iCs w:val="0"/>
                <w:color w:val="000000"/>
                <w:kern w:val="0"/>
                <w:sz w:val="22"/>
                <w:szCs w:val="22"/>
                <w:u w:val="none"/>
                <w:lang w:val="en-US" w:eastAsia="zh-CN" w:bidi="ar"/>
              </w:rPr>
              <w:t>第2年</w:t>
            </w:r>
          </w:p>
        </w:tc>
      </w:tr>
      <w:tr w14:paraId="7016FA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080" w:type="dxa"/>
            <w:tcBorders>
              <w:top w:val="nil"/>
              <w:bottom w:val="single" w:color="000000" w:sz="8" w:space="0"/>
              <w:right w:val="single" w:color="000000" w:sz="8" w:space="0"/>
            </w:tcBorders>
            <w:shd w:val="clear" w:color="auto" w:fill="auto"/>
            <w:noWrap/>
            <w:vAlign w:val="center"/>
          </w:tcPr>
          <w:p w14:paraId="2FCC979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2"/>
                <w:szCs w:val="22"/>
                <w:u w:val="none"/>
              </w:rPr>
            </w:pPr>
            <w:r>
              <w:rPr>
                <w:rFonts w:hint="default" w:ascii="Times New Roman" w:hAnsi="Times New Roman" w:eastAsia="仿宋" w:cs="Times New Roman"/>
                <w:b/>
                <w:bCs/>
                <w:i w:val="0"/>
                <w:iCs w:val="0"/>
                <w:color w:val="000000"/>
                <w:kern w:val="0"/>
                <w:sz w:val="22"/>
                <w:szCs w:val="22"/>
                <w:u w:val="none"/>
                <w:lang w:val="en-US" w:eastAsia="zh-CN" w:bidi="ar"/>
              </w:rPr>
              <w:t>一</w:t>
            </w:r>
          </w:p>
        </w:tc>
        <w:tc>
          <w:tcPr>
            <w:tcW w:w="2286" w:type="dxa"/>
            <w:tcBorders>
              <w:top w:val="nil"/>
              <w:left w:val="nil"/>
              <w:bottom w:val="single" w:color="000000" w:sz="8" w:space="0"/>
              <w:right w:val="single" w:color="000000" w:sz="8" w:space="0"/>
            </w:tcBorders>
            <w:shd w:val="clear" w:color="auto" w:fill="auto"/>
            <w:vAlign w:val="center"/>
          </w:tcPr>
          <w:p w14:paraId="21D59BC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2"/>
                <w:szCs w:val="22"/>
                <w:u w:val="none"/>
              </w:rPr>
            </w:pPr>
            <w:r>
              <w:rPr>
                <w:rFonts w:hint="default" w:ascii="Times New Roman" w:hAnsi="Times New Roman" w:eastAsia="仿宋" w:cs="Times New Roman"/>
                <w:b/>
                <w:bCs/>
                <w:i w:val="0"/>
                <w:iCs w:val="0"/>
                <w:color w:val="000000"/>
                <w:kern w:val="0"/>
                <w:sz w:val="22"/>
                <w:szCs w:val="22"/>
                <w:u w:val="none"/>
                <w:lang w:val="en-US" w:eastAsia="zh-CN" w:bidi="ar"/>
              </w:rPr>
              <w:t>资金使用</w:t>
            </w:r>
          </w:p>
        </w:tc>
        <w:tc>
          <w:tcPr>
            <w:tcW w:w="1419" w:type="dxa"/>
            <w:tcBorders>
              <w:top w:val="nil"/>
              <w:left w:val="nil"/>
              <w:bottom w:val="single" w:color="000000" w:sz="8" w:space="0"/>
              <w:right w:val="single" w:color="000000" w:sz="8" w:space="0"/>
            </w:tcBorders>
            <w:shd w:val="clear" w:color="auto" w:fill="auto"/>
            <w:noWrap/>
            <w:vAlign w:val="center"/>
          </w:tcPr>
          <w:p w14:paraId="06A81DA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2"/>
                <w:szCs w:val="22"/>
                <w:u w:val="none"/>
              </w:rPr>
            </w:pPr>
            <w:r>
              <w:rPr>
                <w:rFonts w:hint="default" w:ascii="Times New Roman" w:hAnsi="Times New Roman" w:eastAsia="等线" w:cs="Times New Roman"/>
                <w:b/>
                <w:bCs/>
                <w:i w:val="0"/>
                <w:iCs w:val="0"/>
                <w:color w:val="000000"/>
                <w:kern w:val="0"/>
                <w:sz w:val="22"/>
                <w:szCs w:val="22"/>
                <w:u w:val="none"/>
                <w:lang w:val="en-US" w:eastAsia="zh-CN" w:bidi="ar"/>
              </w:rPr>
              <w:t>19,552.60</w:t>
            </w:r>
          </w:p>
        </w:tc>
        <w:tc>
          <w:tcPr>
            <w:tcW w:w="1740" w:type="dxa"/>
            <w:tcBorders>
              <w:top w:val="nil"/>
              <w:left w:val="nil"/>
              <w:bottom w:val="single" w:color="000000" w:sz="8" w:space="0"/>
              <w:right w:val="single" w:color="000000" w:sz="8" w:space="0"/>
            </w:tcBorders>
            <w:shd w:val="clear" w:color="auto" w:fill="auto"/>
            <w:vAlign w:val="center"/>
          </w:tcPr>
          <w:p w14:paraId="55D5CE7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11,500.00</w:t>
            </w:r>
          </w:p>
        </w:tc>
        <w:tc>
          <w:tcPr>
            <w:tcW w:w="1935" w:type="dxa"/>
            <w:tcBorders>
              <w:top w:val="nil"/>
              <w:left w:val="nil"/>
              <w:bottom w:val="single" w:color="000000" w:sz="8" w:space="0"/>
            </w:tcBorders>
            <w:shd w:val="clear" w:color="auto" w:fill="auto"/>
            <w:vAlign w:val="center"/>
          </w:tcPr>
          <w:p w14:paraId="33E6C5B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8,052.60</w:t>
            </w:r>
          </w:p>
        </w:tc>
      </w:tr>
      <w:tr w14:paraId="21709B0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080" w:type="dxa"/>
            <w:tcBorders>
              <w:top w:val="nil"/>
              <w:bottom w:val="single" w:color="000000" w:sz="8" w:space="0"/>
              <w:right w:val="single" w:color="000000" w:sz="8" w:space="0"/>
            </w:tcBorders>
            <w:shd w:val="clear" w:color="auto" w:fill="auto"/>
            <w:noWrap/>
            <w:vAlign w:val="center"/>
          </w:tcPr>
          <w:p w14:paraId="2CDDA6B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2"/>
                <w:szCs w:val="22"/>
                <w:u w:val="none"/>
              </w:rPr>
            </w:pPr>
            <w:r>
              <w:rPr>
                <w:rFonts w:hint="default" w:ascii="Times New Roman" w:hAnsi="Times New Roman" w:eastAsia="仿宋" w:cs="Times New Roman"/>
                <w:i w:val="0"/>
                <w:iCs w:val="0"/>
                <w:color w:val="000000"/>
                <w:kern w:val="0"/>
                <w:sz w:val="22"/>
                <w:szCs w:val="22"/>
                <w:u w:val="none"/>
                <w:lang w:val="en-US" w:eastAsia="zh-CN" w:bidi="ar"/>
              </w:rPr>
              <w:t>1</w:t>
            </w:r>
          </w:p>
        </w:tc>
        <w:tc>
          <w:tcPr>
            <w:tcW w:w="2286" w:type="dxa"/>
            <w:tcBorders>
              <w:top w:val="nil"/>
              <w:left w:val="nil"/>
              <w:bottom w:val="single" w:color="000000" w:sz="8" w:space="0"/>
              <w:right w:val="single" w:color="000000" w:sz="8" w:space="0"/>
            </w:tcBorders>
            <w:shd w:val="clear" w:color="auto" w:fill="auto"/>
            <w:vAlign w:val="center"/>
          </w:tcPr>
          <w:p w14:paraId="23FDBF2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2"/>
                <w:szCs w:val="22"/>
                <w:u w:val="none"/>
              </w:rPr>
            </w:pPr>
            <w:r>
              <w:rPr>
                <w:rFonts w:hint="default" w:ascii="Times New Roman" w:hAnsi="Times New Roman" w:eastAsia="仿宋" w:cs="Times New Roman"/>
                <w:i w:val="0"/>
                <w:iCs w:val="0"/>
                <w:color w:val="000000"/>
                <w:kern w:val="0"/>
                <w:sz w:val="22"/>
                <w:szCs w:val="22"/>
                <w:u w:val="none"/>
                <w:lang w:val="en-US" w:eastAsia="zh-CN" w:bidi="ar"/>
              </w:rPr>
              <w:t>建设投资</w:t>
            </w:r>
          </w:p>
        </w:tc>
        <w:tc>
          <w:tcPr>
            <w:tcW w:w="1419" w:type="dxa"/>
            <w:tcBorders>
              <w:top w:val="nil"/>
              <w:left w:val="nil"/>
              <w:bottom w:val="single" w:color="000000" w:sz="8" w:space="0"/>
              <w:right w:val="single" w:color="000000" w:sz="8" w:space="0"/>
            </w:tcBorders>
            <w:shd w:val="clear" w:color="auto" w:fill="auto"/>
            <w:noWrap/>
            <w:vAlign w:val="center"/>
          </w:tcPr>
          <w:p w14:paraId="719873C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2"/>
                <w:szCs w:val="22"/>
                <w:u w:val="none"/>
              </w:rPr>
            </w:pPr>
            <w:r>
              <w:rPr>
                <w:rFonts w:hint="default" w:ascii="Times New Roman" w:hAnsi="Times New Roman" w:eastAsia="等线" w:cs="Times New Roman"/>
                <w:b/>
                <w:bCs/>
                <w:i w:val="0"/>
                <w:iCs w:val="0"/>
                <w:color w:val="000000"/>
                <w:kern w:val="0"/>
                <w:sz w:val="22"/>
                <w:szCs w:val="22"/>
                <w:u w:val="none"/>
                <w:lang w:val="en-US" w:eastAsia="zh-CN" w:bidi="ar"/>
              </w:rPr>
              <w:t>18,577.60</w:t>
            </w:r>
          </w:p>
        </w:tc>
        <w:tc>
          <w:tcPr>
            <w:tcW w:w="1740" w:type="dxa"/>
            <w:tcBorders>
              <w:top w:val="nil"/>
              <w:left w:val="nil"/>
              <w:bottom w:val="single" w:color="000000" w:sz="8" w:space="0"/>
              <w:right w:val="single" w:color="000000" w:sz="8" w:space="0"/>
            </w:tcBorders>
            <w:shd w:val="clear" w:color="auto" w:fill="auto"/>
            <w:vAlign w:val="center"/>
          </w:tcPr>
          <w:p w14:paraId="21FC2F6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11,011.00</w:t>
            </w:r>
          </w:p>
        </w:tc>
        <w:tc>
          <w:tcPr>
            <w:tcW w:w="1935" w:type="dxa"/>
            <w:tcBorders>
              <w:top w:val="nil"/>
              <w:left w:val="nil"/>
              <w:bottom w:val="single" w:color="000000" w:sz="8" w:space="0"/>
            </w:tcBorders>
            <w:shd w:val="clear" w:color="auto" w:fill="auto"/>
            <w:vAlign w:val="center"/>
          </w:tcPr>
          <w:p w14:paraId="7736ADE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7,566.60</w:t>
            </w:r>
          </w:p>
        </w:tc>
      </w:tr>
      <w:tr w14:paraId="2519AE9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1080" w:type="dxa"/>
            <w:tcBorders>
              <w:top w:val="nil"/>
              <w:bottom w:val="single" w:color="000000" w:sz="8" w:space="0"/>
              <w:right w:val="single" w:color="000000" w:sz="8" w:space="0"/>
            </w:tcBorders>
            <w:shd w:val="clear" w:color="auto" w:fill="auto"/>
            <w:noWrap/>
            <w:vAlign w:val="center"/>
          </w:tcPr>
          <w:p w14:paraId="12DFCE1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2"/>
                <w:szCs w:val="22"/>
                <w:u w:val="none"/>
              </w:rPr>
            </w:pPr>
            <w:r>
              <w:rPr>
                <w:rFonts w:hint="default" w:ascii="Times New Roman" w:hAnsi="Times New Roman" w:eastAsia="仿宋" w:cs="Times New Roman"/>
                <w:i w:val="0"/>
                <w:iCs w:val="0"/>
                <w:color w:val="000000"/>
                <w:kern w:val="0"/>
                <w:sz w:val="22"/>
                <w:szCs w:val="22"/>
                <w:u w:val="none"/>
                <w:lang w:val="en-US" w:eastAsia="zh-CN" w:bidi="ar"/>
              </w:rPr>
              <w:t>2</w:t>
            </w:r>
          </w:p>
        </w:tc>
        <w:tc>
          <w:tcPr>
            <w:tcW w:w="2286" w:type="dxa"/>
            <w:tcBorders>
              <w:top w:val="nil"/>
              <w:left w:val="nil"/>
              <w:bottom w:val="single" w:color="000000" w:sz="8" w:space="0"/>
              <w:right w:val="single" w:color="000000" w:sz="8" w:space="0"/>
            </w:tcBorders>
            <w:shd w:val="clear" w:color="auto" w:fill="auto"/>
            <w:vAlign w:val="center"/>
          </w:tcPr>
          <w:p w14:paraId="38133A3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2"/>
                <w:szCs w:val="22"/>
                <w:u w:val="none"/>
              </w:rPr>
            </w:pPr>
            <w:r>
              <w:rPr>
                <w:rFonts w:hint="default" w:ascii="Times New Roman" w:hAnsi="Times New Roman" w:eastAsia="仿宋" w:cs="Times New Roman"/>
                <w:i w:val="0"/>
                <w:iCs w:val="0"/>
                <w:color w:val="000000"/>
                <w:kern w:val="0"/>
                <w:sz w:val="22"/>
                <w:szCs w:val="22"/>
                <w:u w:val="none"/>
                <w:lang w:val="en-US" w:eastAsia="zh-CN" w:bidi="ar"/>
              </w:rPr>
              <w:t>建设期专项债券利息</w:t>
            </w:r>
          </w:p>
        </w:tc>
        <w:tc>
          <w:tcPr>
            <w:tcW w:w="1419" w:type="dxa"/>
            <w:tcBorders>
              <w:top w:val="nil"/>
              <w:left w:val="nil"/>
              <w:bottom w:val="single" w:color="000000" w:sz="8" w:space="0"/>
              <w:right w:val="single" w:color="000000" w:sz="8" w:space="0"/>
            </w:tcBorders>
            <w:shd w:val="clear" w:color="auto" w:fill="auto"/>
            <w:noWrap/>
            <w:vAlign w:val="center"/>
          </w:tcPr>
          <w:p w14:paraId="3DAF809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2"/>
                <w:szCs w:val="22"/>
                <w:u w:val="none"/>
              </w:rPr>
            </w:pPr>
            <w:r>
              <w:rPr>
                <w:rFonts w:hint="default" w:ascii="Times New Roman" w:hAnsi="Times New Roman" w:eastAsia="等线" w:cs="Times New Roman"/>
                <w:b/>
                <w:bCs/>
                <w:i w:val="0"/>
                <w:iCs w:val="0"/>
                <w:color w:val="000000"/>
                <w:kern w:val="0"/>
                <w:sz w:val="22"/>
                <w:szCs w:val="22"/>
                <w:u w:val="none"/>
                <w:lang w:val="en-US" w:eastAsia="zh-CN" w:bidi="ar"/>
              </w:rPr>
              <w:t>960.00</w:t>
            </w:r>
          </w:p>
        </w:tc>
        <w:tc>
          <w:tcPr>
            <w:tcW w:w="1740" w:type="dxa"/>
            <w:tcBorders>
              <w:top w:val="nil"/>
              <w:left w:val="nil"/>
              <w:bottom w:val="single" w:color="000000" w:sz="8" w:space="0"/>
              <w:right w:val="single" w:color="000000" w:sz="8" w:space="0"/>
            </w:tcBorders>
            <w:shd w:val="clear" w:color="auto" w:fill="auto"/>
            <w:vAlign w:val="center"/>
          </w:tcPr>
          <w:p w14:paraId="5D3EE67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lang w:val="en-US"/>
              </w:rPr>
            </w:pPr>
            <w:r>
              <w:rPr>
                <w:rFonts w:hint="default" w:ascii="Times New Roman" w:hAnsi="Times New Roman" w:eastAsia="等线" w:cs="Times New Roman"/>
                <w:i w:val="0"/>
                <w:iCs w:val="0"/>
                <w:color w:val="000000"/>
                <w:kern w:val="0"/>
                <w:sz w:val="21"/>
                <w:szCs w:val="21"/>
                <w:u w:val="none"/>
                <w:lang w:val="en-US" w:eastAsia="zh-CN" w:bidi="ar"/>
              </w:rPr>
              <w:t>480.00</w:t>
            </w:r>
          </w:p>
        </w:tc>
        <w:tc>
          <w:tcPr>
            <w:tcW w:w="1935" w:type="dxa"/>
            <w:tcBorders>
              <w:top w:val="nil"/>
              <w:left w:val="nil"/>
              <w:bottom w:val="single" w:color="000000" w:sz="8" w:space="0"/>
            </w:tcBorders>
            <w:shd w:val="clear" w:color="auto" w:fill="auto"/>
            <w:vAlign w:val="center"/>
          </w:tcPr>
          <w:p w14:paraId="07B5E83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lang w:val="en-US"/>
              </w:rPr>
            </w:pPr>
            <w:r>
              <w:rPr>
                <w:rFonts w:hint="default" w:ascii="Times New Roman" w:hAnsi="Times New Roman" w:eastAsia="等线" w:cs="Times New Roman"/>
                <w:i w:val="0"/>
                <w:iCs w:val="0"/>
                <w:color w:val="000000"/>
                <w:kern w:val="0"/>
                <w:sz w:val="21"/>
                <w:szCs w:val="21"/>
                <w:u w:val="none"/>
                <w:lang w:val="en-US" w:eastAsia="zh-CN" w:bidi="ar"/>
              </w:rPr>
              <w:t>480.00</w:t>
            </w:r>
          </w:p>
        </w:tc>
      </w:tr>
      <w:tr w14:paraId="179D76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080" w:type="dxa"/>
            <w:tcBorders>
              <w:top w:val="nil"/>
              <w:bottom w:val="single" w:color="000000" w:sz="8" w:space="0"/>
              <w:right w:val="single" w:color="000000" w:sz="8" w:space="0"/>
            </w:tcBorders>
            <w:shd w:val="clear" w:color="auto" w:fill="auto"/>
            <w:noWrap/>
            <w:vAlign w:val="center"/>
          </w:tcPr>
          <w:p w14:paraId="3946A79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2"/>
                <w:szCs w:val="22"/>
                <w:u w:val="none"/>
              </w:rPr>
            </w:pPr>
            <w:r>
              <w:rPr>
                <w:rFonts w:hint="default" w:ascii="Times New Roman" w:hAnsi="Times New Roman" w:eastAsia="仿宋" w:cs="Times New Roman"/>
                <w:i w:val="0"/>
                <w:iCs w:val="0"/>
                <w:color w:val="000000"/>
                <w:kern w:val="0"/>
                <w:sz w:val="22"/>
                <w:szCs w:val="22"/>
                <w:u w:val="none"/>
                <w:lang w:val="en-US" w:eastAsia="zh-CN" w:bidi="ar"/>
              </w:rPr>
              <w:t>3</w:t>
            </w:r>
          </w:p>
        </w:tc>
        <w:tc>
          <w:tcPr>
            <w:tcW w:w="2286" w:type="dxa"/>
            <w:tcBorders>
              <w:top w:val="nil"/>
              <w:left w:val="nil"/>
              <w:bottom w:val="single" w:color="000000" w:sz="8" w:space="0"/>
              <w:right w:val="single" w:color="000000" w:sz="8" w:space="0"/>
            </w:tcBorders>
            <w:shd w:val="clear" w:color="auto" w:fill="auto"/>
            <w:vAlign w:val="center"/>
          </w:tcPr>
          <w:p w14:paraId="34696F4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2"/>
                <w:szCs w:val="22"/>
                <w:u w:val="none"/>
              </w:rPr>
            </w:pPr>
            <w:r>
              <w:rPr>
                <w:rFonts w:hint="default" w:ascii="Times New Roman" w:hAnsi="Times New Roman" w:eastAsia="仿宋" w:cs="Times New Roman"/>
                <w:i w:val="0"/>
                <w:iCs w:val="0"/>
                <w:color w:val="000000"/>
                <w:kern w:val="0"/>
                <w:sz w:val="22"/>
                <w:szCs w:val="22"/>
                <w:u w:val="none"/>
                <w:lang w:val="en-US" w:eastAsia="zh-CN" w:bidi="ar"/>
              </w:rPr>
              <w:t>债券发行费用</w:t>
            </w:r>
          </w:p>
        </w:tc>
        <w:tc>
          <w:tcPr>
            <w:tcW w:w="1419" w:type="dxa"/>
            <w:tcBorders>
              <w:top w:val="nil"/>
              <w:left w:val="nil"/>
              <w:bottom w:val="single" w:color="000000" w:sz="8" w:space="0"/>
              <w:right w:val="single" w:color="000000" w:sz="8" w:space="0"/>
            </w:tcBorders>
            <w:shd w:val="clear" w:color="auto" w:fill="auto"/>
            <w:noWrap/>
            <w:vAlign w:val="center"/>
          </w:tcPr>
          <w:p w14:paraId="76CCF84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2"/>
                <w:szCs w:val="22"/>
                <w:u w:val="none"/>
              </w:rPr>
            </w:pPr>
            <w:r>
              <w:rPr>
                <w:rFonts w:hint="default" w:ascii="Times New Roman" w:hAnsi="Times New Roman" w:eastAsia="等线" w:cs="Times New Roman"/>
                <w:b/>
                <w:bCs/>
                <w:i w:val="0"/>
                <w:iCs w:val="0"/>
                <w:color w:val="000000"/>
                <w:kern w:val="0"/>
                <w:sz w:val="22"/>
                <w:szCs w:val="22"/>
                <w:u w:val="none"/>
                <w:lang w:val="en-US" w:eastAsia="zh-CN" w:bidi="ar"/>
              </w:rPr>
              <w:t>15.00</w:t>
            </w:r>
          </w:p>
        </w:tc>
        <w:tc>
          <w:tcPr>
            <w:tcW w:w="1740" w:type="dxa"/>
            <w:tcBorders>
              <w:top w:val="nil"/>
              <w:left w:val="nil"/>
              <w:bottom w:val="single" w:color="000000" w:sz="8" w:space="0"/>
              <w:right w:val="single" w:color="000000" w:sz="8" w:space="0"/>
            </w:tcBorders>
            <w:shd w:val="clear" w:color="auto" w:fill="auto"/>
            <w:vAlign w:val="center"/>
          </w:tcPr>
          <w:p w14:paraId="4D8C927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lang w:val="en-US"/>
              </w:rPr>
            </w:pPr>
            <w:r>
              <w:rPr>
                <w:rFonts w:hint="default" w:ascii="Times New Roman" w:hAnsi="Times New Roman" w:eastAsia="等线" w:cs="Times New Roman"/>
                <w:i w:val="0"/>
                <w:iCs w:val="0"/>
                <w:color w:val="000000"/>
                <w:kern w:val="0"/>
                <w:sz w:val="21"/>
                <w:szCs w:val="21"/>
                <w:u w:val="none"/>
                <w:lang w:val="en-US" w:eastAsia="zh-CN" w:bidi="ar"/>
              </w:rPr>
              <w:t>5.00</w:t>
            </w:r>
          </w:p>
        </w:tc>
        <w:tc>
          <w:tcPr>
            <w:tcW w:w="1935" w:type="dxa"/>
            <w:tcBorders>
              <w:top w:val="nil"/>
              <w:left w:val="nil"/>
              <w:bottom w:val="single" w:color="000000" w:sz="8" w:space="0"/>
            </w:tcBorders>
            <w:shd w:val="clear" w:color="auto" w:fill="auto"/>
            <w:vAlign w:val="center"/>
          </w:tcPr>
          <w:p w14:paraId="6B9160C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lang w:val="en-US"/>
              </w:rPr>
            </w:pPr>
            <w:r>
              <w:rPr>
                <w:rFonts w:hint="default" w:ascii="Times New Roman" w:hAnsi="Times New Roman" w:eastAsia="等线" w:cs="Times New Roman"/>
                <w:i w:val="0"/>
                <w:iCs w:val="0"/>
                <w:color w:val="000000"/>
                <w:kern w:val="0"/>
                <w:sz w:val="21"/>
                <w:szCs w:val="21"/>
                <w:u w:val="none"/>
                <w:lang w:val="en-US" w:eastAsia="zh-CN" w:bidi="ar"/>
              </w:rPr>
              <w:t>10.00</w:t>
            </w:r>
          </w:p>
        </w:tc>
      </w:tr>
      <w:tr w14:paraId="57AE381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080" w:type="dxa"/>
            <w:tcBorders>
              <w:top w:val="nil"/>
              <w:bottom w:val="single" w:color="000000" w:sz="8" w:space="0"/>
              <w:right w:val="single" w:color="000000" w:sz="8" w:space="0"/>
            </w:tcBorders>
            <w:shd w:val="clear" w:color="auto" w:fill="auto"/>
            <w:noWrap/>
            <w:vAlign w:val="center"/>
          </w:tcPr>
          <w:p w14:paraId="32CBDD2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2"/>
                <w:szCs w:val="22"/>
                <w:u w:val="none"/>
              </w:rPr>
            </w:pPr>
            <w:r>
              <w:rPr>
                <w:rFonts w:hint="default" w:ascii="Times New Roman" w:hAnsi="Times New Roman" w:eastAsia="仿宋" w:cs="Times New Roman"/>
                <w:b/>
                <w:bCs/>
                <w:i w:val="0"/>
                <w:iCs w:val="0"/>
                <w:color w:val="000000"/>
                <w:kern w:val="0"/>
                <w:sz w:val="22"/>
                <w:szCs w:val="22"/>
                <w:u w:val="none"/>
                <w:lang w:val="en-US" w:eastAsia="zh-CN" w:bidi="ar"/>
              </w:rPr>
              <w:t>二</w:t>
            </w:r>
          </w:p>
        </w:tc>
        <w:tc>
          <w:tcPr>
            <w:tcW w:w="2286" w:type="dxa"/>
            <w:tcBorders>
              <w:top w:val="nil"/>
              <w:left w:val="nil"/>
              <w:bottom w:val="single" w:color="000000" w:sz="8" w:space="0"/>
              <w:right w:val="single" w:color="000000" w:sz="8" w:space="0"/>
            </w:tcBorders>
            <w:shd w:val="clear" w:color="auto" w:fill="auto"/>
            <w:vAlign w:val="center"/>
          </w:tcPr>
          <w:p w14:paraId="0A0315A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b/>
                <w:bCs/>
                <w:i w:val="0"/>
                <w:iCs w:val="0"/>
                <w:color w:val="000000"/>
                <w:sz w:val="22"/>
                <w:szCs w:val="22"/>
                <w:u w:val="none"/>
              </w:rPr>
            </w:pPr>
            <w:r>
              <w:rPr>
                <w:rFonts w:hint="default" w:ascii="Times New Roman" w:hAnsi="Times New Roman" w:eastAsia="仿宋" w:cs="Times New Roman"/>
                <w:b/>
                <w:bCs/>
                <w:i w:val="0"/>
                <w:iCs w:val="0"/>
                <w:color w:val="000000"/>
                <w:kern w:val="0"/>
                <w:sz w:val="22"/>
                <w:szCs w:val="22"/>
                <w:u w:val="none"/>
                <w:lang w:val="en-US" w:eastAsia="zh-CN" w:bidi="ar"/>
              </w:rPr>
              <w:t>资金筹措</w:t>
            </w:r>
          </w:p>
        </w:tc>
        <w:tc>
          <w:tcPr>
            <w:tcW w:w="1419" w:type="dxa"/>
            <w:tcBorders>
              <w:top w:val="nil"/>
              <w:left w:val="nil"/>
              <w:bottom w:val="single" w:color="000000" w:sz="8" w:space="0"/>
              <w:right w:val="single" w:color="000000" w:sz="8" w:space="0"/>
            </w:tcBorders>
            <w:shd w:val="clear" w:color="auto" w:fill="auto"/>
            <w:noWrap/>
            <w:vAlign w:val="center"/>
          </w:tcPr>
          <w:p w14:paraId="30A76A0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2"/>
                <w:szCs w:val="22"/>
                <w:u w:val="none"/>
              </w:rPr>
            </w:pPr>
            <w:r>
              <w:rPr>
                <w:rFonts w:hint="default" w:ascii="Times New Roman" w:hAnsi="Times New Roman" w:eastAsia="等线" w:cs="Times New Roman"/>
                <w:b/>
                <w:bCs/>
                <w:i w:val="0"/>
                <w:iCs w:val="0"/>
                <w:color w:val="000000"/>
                <w:kern w:val="0"/>
                <w:sz w:val="22"/>
                <w:szCs w:val="22"/>
                <w:u w:val="none"/>
                <w:lang w:val="en-US" w:eastAsia="zh-CN" w:bidi="ar"/>
              </w:rPr>
              <w:t>19,552.60</w:t>
            </w:r>
          </w:p>
        </w:tc>
        <w:tc>
          <w:tcPr>
            <w:tcW w:w="1740" w:type="dxa"/>
            <w:tcBorders>
              <w:top w:val="nil"/>
              <w:left w:val="nil"/>
              <w:bottom w:val="single" w:color="000000" w:sz="8" w:space="0"/>
              <w:right w:val="single" w:color="000000" w:sz="8" w:space="0"/>
            </w:tcBorders>
            <w:shd w:val="clear" w:color="auto" w:fill="auto"/>
            <w:vAlign w:val="center"/>
          </w:tcPr>
          <w:p w14:paraId="17D833C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11,500.00</w:t>
            </w:r>
          </w:p>
        </w:tc>
        <w:tc>
          <w:tcPr>
            <w:tcW w:w="1935" w:type="dxa"/>
            <w:tcBorders>
              <w:top w:val="nil"/>
              <w:left w:val="nil"/>
              <w:bottom w:val="single" w:color="000000" w:sz="8" w:space="0"/>
            </w:tcBorders>
            <w:shd w:val="clear" w:color="auto" w:fill="auto"/>
            <w:vAlign w:val="center"/>
          </w:tcPr>
          <w:p w14:paraId="720741A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8,052.60</w:t>
            </w:r>
          </w:p>
        </w:tc>
      </w:tr>
      <w:tr w14:paraId="462EA77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080" w:type="dxa"/>
            <w:tcBorders>
              <w:top w:val="nil"/>
              <w:bottom w:val="single" w:color="000000" w:sz="8" w:space="0"/>
              <w:right w:val="single" w:color="000000" w:sz="8" w:space="0"/>
            </w:tcBorders>
            <w:shd w:val="clear" w:color="auto" w:fill="auto"/>
            <w:noWrap/>
            <w:vAlign w:val="center"/>
          </w:tcPr>
          <w:p w14:paraId="16D05AC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2"/>
                <w:szCs w:val="22"/>
                <w:u w:val="none"/>
              </w:rPr>
            </w:pPr>
            <w:r>
              <w:rPr>
                <w:rFonts w:hint="default" w:ascii="Times New Roman" w:hAnsi="Times New Roman" w:eastAsia="仿宋" w:cs="Times New Roman"/>
                <w:i w:val="0"/>
                <w:iCs w:val="0"/>
                <w:color w:val="000000"/>
                <w:kern w:val="0"/>
                <w:sz w:val="22"/>
                <w:szCs w:val="22"/>
                <w:u w:val="none"/>
                <w:lang w:val="en-US" w:eastAsia="zh-CN" w:bidi="ar"/>
              </w:rPr>
              <w:t>1</w:t>
            </w:r>
          </w:p>
        </w:tc>
        <w:tc>
          <w:tcPr>
            <w:tcW w:w="2286" w:type="dxa"/>
            <w:tcBorders>
              <w:top w:val="nil"/>
              <w:left w:val="nil"/>
              <w:bottom w:val="single" w:color="000000" w:sz="8" w:space="0"/>
              <w:right w:val="single" w:color="000000" w:sz="8" w:space="0"/>
            </w:tcBorders>
            <w:shd w:val="clear" w:color="auto" w:fill="auto"/>
            <w:vAlign w:val="center"/>
          </w:tcPr>
          <w:p w14:paraId="3B580F5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2"/>
                <w:szCs w:val="22"/>
                <w:u w:val="none"/>
              </w:rPr>
            </w:pPr>
            <w:r>
              <w:rPr>
                <w:rFonts w:hint="default" w:ascii="Times New Roman" w:hAnsi="Times New Roman" w:eastAsia="仿宋" w:cs="Times New Roman"/>
                <w:i w:val="0"/>
                <w:iCs w:val="0"/>
                <w:color w:val="000000"/>
                <w:kern w:val="0"/>
                <w:sz w:val="22"/>
                <w:szCs w:val="22"/>
                <w:u w:val="none"/>
                <w:lang w:val="en-US" w:eastAsia="zh-CN" w:bidi="ar"/>
              </w:rPr>
              <w:t>项目资本金</w:t>
            </w:r>
          </w:p>
        </w:tc>
        <w:tc>
          <w:tcPr>
            <w:tcW w:w="1419" w:type="dxa"/>
            <w:tcBorders>
              <w:top w:val="nil"/>
              <w:left w:val="nil"/>
              <w:bottom w:val="single" w:color="000000" w:sz="8" w:space="0"/>
              <w:right w:val="single" w:color="000000" w:sz="8" w:space="0"/>
            </w:tcBorders>
            <w:shd w:val="clear" w:color="auto" w:fill="auto"/>
            <w:noWrap/>
            <w:vAlign w:val="center"/>
          </w:tcPr>
          <w:p w14:paraId="6C2633C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2"/>
                <w:szCs w:val="22"/>
                <w:u w:val="none"/>
              </w:rPr>
            </w:pPr>
            <w:r>
              <w:rPr>
                <w:rFonts w:hint="default" w:ascii="Times New Roman" w:hAnsi="Times New Roman" w:eastAsia="等线" w:cs="Times New Roman"/>
                <w:b/>
                <w:bCs/>
                <w:i w:val="0"/>
                <w:iCs w:val="0"/>
                <w:color w:val="000000"/>
                <w:kern w:val="0"/>
                <w:sz w:val="22"/>
                <w:szCs w:val="22"/>
                <w:u w:val="none"/>
                <w:lang w:val="en-US" w:eastAsia="zh-CN" w:bidi="ar"/>
              </w:rPr>
              <w:t>4,552.60</w:t>
            </w:r>
          </w:p>
        </w:tc>
        <w:tc>
          <w:tcPr>
            <w:tcW w:w="1740" w:type="dxa"/>
            <w:tcBorders>
              <w:top w:val="nil"/>
              <w:left w:val="nil"/>
              <w:bottom w:val="single" w:color="000000" w:sz="8" w:space="0"/>
              <w:right w:val="single" w:color="000000" w:sz="8" w:space="0"/>
            </w:tcBorders>
            <w:shd w:val="clear" w:color="auto" w:fill="auto"/>
            <w:vAlign w:val="center"/>
          </w:tcPr>
          <w:p w14:paraId="5DAEA56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2,500.00</w:t>
            </w:r>
          </w:p>
        </w:tc>
        <w:tc>
          <w:tcPr>
            <w:tcW w:w="1935" w:type="dxa"/>
            <w:tcBorders>
              <w:top w:val="nil"/>
              <w:left w:val="nil"/>
              <w:bottom w:val="single" w:color="000000" w:sz="8" w:space="0"/>
            </w:tcBorders>
            <w:shd w:val="clear" w:color="auto" w:fill="auto"/>
            <w:vAlign w:val="center"/>
          </w:tcPr>
          <w:p w14:paraId="1C0181D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2,052.60</w:t>
            </w:r>
          </w:p>
        </w:tc>
      </w:tr>
      <w:tr w14:paraId="5A6118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080" w:type="dxa"/>
            <w:tcBorders>
              <w:top w:val="nil"/>
              <w:right w:val="single" w:color="000000" w:sz="8" w:space="0"/>
            </w:tcBorders>
            <w:shd w:val="clear" w:color="auto" w:fill="auto"/>
            <w:noWrap/>
            <w:vAlign w:val="center"/>
          </w:tcPr>
          <w:p w14:paraId="1742245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2"/>
                <w:szCs w:val="22"/>
                <w:u w:val="none"/>
              </w:rPr>
            </w:pPr>
            <w:r>
              <w:rPr>
                <w:rFonts w:hint="default" w:ascii="Times New Roman" w:hAnsi="Times New Roman" w:eastAsia="仿宋" w:cs="Times New Roman"/>
                <w:i w:val="0"/>
                <w:iCs w:val="0"/>
                <w:color w:val="000000"/>
                <w:kern w:val="0"/>
                <w:sz w:val="22"/>
                <w:szCs w:val="22"/>
                <w:u w:val="none"/>
                <w:lang w:val="en-US" w:eastAsia="zh-CN" w:bidi="ar"/>
              </w:rPr>
              <w:t>2</w:t>
            </w:r>
          </w:p>
        </w:tc>
        <w:tc>
          <w:tcPr>
            <w:tcW w:w="2286" w:type="dxa"/>
            <w:tcBorders>
              <w:top w:val="nil"/>
              <w:left w:val="nil"/>
              <w:right w:val="single" w:color="000000" w:sz="8" w:space="0"/>
            </w:tcBorders>
            <w:shd w:val="clear" w:color="auto" w:fill="auto"/>
            <w:vAlign w:val="center"/>
          </w:tcPr>
          <w:p w14:paraId="591802B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 w:cs="Times New Roman"/>
                <w:i w:val="0"/>
                <w:iCs w:val="0"/>
                <w:color w:val="000000"/>
                <w:sz w:val="22"/>
                <w:szCs w:val="22"/>
                <w:u w:val="none"/>
              </w:rPr>
            </w:pPr>
            <w:r>
              <w:rPr>
                <w:rFonts w:hint="default" w:ascii="Times New Roman" w:hAnsi="Times New Roman" w:eastAsia="仿宋" w:cs="Times New Roman"/>
                <w:i w:val="0"/>
                <w:iCs w:val="0"/>
                <w:color w:val="000000"/>
                <w:kern w:val="0"/>
                <w:sz w:val="22"/>
                <w:szCs w:val="22"/>
                <w:u w:val="none"/>
                <w:lang w:val="en-US" w:eastAsia="zh-CN" w:bidi="ar"/>
              </w:rPr>
              <w:t>专项债券</w:t>
            </w:r>
          </w:p>
        </w:tc>
        <w:tc>
          <w:tcPr>
            <w:tcW w:w="1419" w:type="dxa"/>
            <w:tcBorders>
              <w:top w:val="nil"/>
              <w:left w:val="nil"/>
              <w:right w:val="single" w:color="000000" w:sz="8" w:space="0"/>
            </w:tcBorders>
            <w:shd w:val="clear" w:color="auto" w:fill="auto"/>
            <w:noWrap/>
            <w:vAlign w:val="center"/>
          </w:tcPr>
          <w:p w14:paraId="5228510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22"/>
                <w:szCs w:val="22"/>
                <w:u w:val="none"/>
              </w:rPr>
            </w:pPr>
            <w:r>
              <w:rPr>
                <w:rFonts w:hint="default" w:ascii="Times New Roman" w:hAnsi="Times New Roman" w:eastAsia="等线" w:cs="Times New Roman"/>
                <w:b/>
                <w:bCs/>
                <w:i w:val="0"/>
                <w:iCs w:val="0"/>
                <w:color w:val="000000"/>
                <w:kern w:val="0"/>
                <w:sz w:val="22"/>
                <w:szCs w:val="22"/>
                <w:u w:val="none"/>
                <w:lang w:val="en-US" w:eastAsia="zh-CN" w:bidi="ar"/>
              </w:rPr>
              <w:t>15,000.00</w:t>
            </w:r>
          </w:p>
        </w:tc>
        <w:tc>
          <w:tcPr>
            <w:tcW w:w="1740" w:type="dxa"/>
            <w:tcBorders>
              <w:top w:val="nil"/>
              <w:left w:val="nil"/>
              <w:right w:val="single" w:color="000000" w:sz="8" w:space="0"/>
            </w:tcBorders>
            <w:shd w:val="clear" w:color="auto" w:fill="auto"/>
            <w:noWrap/>
            <w:vAlign w:val="center"/>
          </w:tcPr>
          <w:p w14:paraId="24CB902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6,000.00</w:t>
            </w:r>
          </w:p>
        </w:tc>
        <w:tc>
          <w:tcPr>
            <w:tcW w:w="1935" w:type="dxa"/>
            <w:tcBorders>
              <w:top w:val="nil"/>
              <w:left w:val="nil"/>
            </w:tcBorders>
            <w:shd w:val="clear" w:color="auto" w:fill="auto"/>
            <w:noWrap/>
            <w:vAlign w:val="center"/>
          </w:tcPr>
          <w:p w14:paraId="20CADAE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21"/>
                <w:szCs w:val="21"/>
                <w:u w:val="none"/>
              </w:rPr>
            </w:pPr>
            <w:r>
              <w:rPr>
                <w:rFonts w:hint="default" w:ascii="Times New Roman" w:hAnsi="Times New Roman" w:eastAsia="等线" w:cs="Times New Roman"/>
                <w:i w:val="0"/>
                <w:iCs w:val="0"/>
                <w:color w:val="000000"/>
                <w:kern w:val="0"/>
                <w:sz w:val="21"/>
                <w:szCs w:val="21"/>
                <w:u w:val="none"/>
                <w:lang w:val="en-US" w:eastAsia="zh-CN" w:bidi="ar"/>
              </w:rPr>
              <w:t xml:space="preserve">9,000.00 </w:t>
            </w:r>
          </w:p>
        </w:tc>
      </w:tr>
    </w:tbl>
    <w:p w14:paraId="70DBD5B0">
      <w:pPr>
        <w:bidi w:val="0"/>
        <w:jc w:val="right"/>
        <w:rPr>
          <w:rFonts w:hint="eastAsia" w:ascii="仿宋_GB2312" w:hAnsi="仿宋_GB2312" w:eastAsia="仿宋_GB2312" w:cs="仿宋_GB2312"/>
          <w:highlight w:val="none"/>
        </w:rPr>
      </w:pPr>
    </w:p>
    <w:p w14:paraId="7D05E1B3">
      <w:pPr>
        <w:spacing w:line="560" w:lineRule="exact"/>
        <w:ind w:firstLine="640" w:firstLineChars="200"/>
        <w:rPr>
          <w:rFonts w:ascii="黑体" w:hAnsi="黑体" w:eastAsia="黑体"/>
          <w:sz w:val="32"/>
          <w:szCs w:val="32"/>
        </w:rPr>
      </w:pPr>
      <w:r>
        <w:rPr>
          <w:rFonts w:hint="eastAsia" w:ascii="黑体" w:hAnsi="黑体" w:eastAsia="黑体"/>
          <w:sz w:val="32"/>
          <w:szCs w:val="32"/>
        </w:rPr>
        <w:t>四、项目预期收益、成本及融资平衡情况</w:t>
      </w:r>
    </w:p>
    <w:p w14:paraId="4F7DFAB4">
      <w:pPr>
        <w:spacing w:line="560" w:lineRule="exact"/>
        <w:ind w:firstLine="643" w:firstLineChars="200"/>
        <w:rPr>
          <w:rFonts w:ascii="楷体_GB2312" w:eastAsia="楷体_GB2312"/>
          <w:b/>
          <w:sz w:val="32"/>
          <w:szCs w:val="32"/>
        </w:rPr>
      </w:pPr>
      <w:r>
        <w:rPr>
          <w:rFonts w:hint="eastAsia" w:ascii="楷体_GB2312" w:eastAsia="楷体_GB2312"/>
          <w:b/>
          <w:sz w:val="32"/>
          <w:szCs w:val="32"/>
        </w:rPr>
        <w:t>（一）预期收益</w:t>
      </w:r>
    </w:p>
    <w:p w14:paraId="188E2EBC">
      <w:pPr>
        <w:spacing w:line="560" w:lineRule="exact"/>
        <w:ind w:firstLine="643" w:firstLineChars="200"/>
        <w:rPr>
          <w:rFonts w:hint="eastAsia" w:ascii="仿宋_GB2312" w:eastAsia="仿宋_GB2312"/>
          <w:b/>
          <w:sz w:val="32"/>
          <w:szCs w:val="32"/>
        </w:rPr>
      </w:pPr>
      <w:r>
        <w:rPr>
          <w:rFonts w:hint="eastAsia" w:ascii="仿宋_GB2312" w:eastAsia="仿宋_GB2312"/>
          <w:b/>
          <w:sz w:val="32"/>
          <w:szCs w:val="32"/>
        </w:rPr>
        <w:t>1.项目收入</w:t>
      </w:r>
    </w:p>
    <w:p w14:paraId="192AE515">
      <w:pPr>
        <w:spacing w:line="560" w:lineRule="exact"/>
        <w:ind w:firstLine="643" w:firstLineChars="200"/>
        <w:rPr>
          <w:rFonts w:hint="default" w:ascii="仿宋_GB2312" w:hAnsi="Calibri" w:eastAsia="仿宋_GB2312" w:cs="Times New Roman"/>
          <w:b/>
          <w:sz w:val="32"/>
          <w:szCs w:val="32"/>
          <w:lang w:val="en-US" w:eastAsia="zh-CN"/>
        </w:rPr>
      </w:pPr>
      <w:bookmarkStart w:id="43" w:name="_Toc13384"/>
      <w:bookmarkStart w:id="44" w:name="_Hlk84356978"/>
      <w:r>
        <w:rPr>
          <w:rFonts w:hint="eastAsia" w:ascii="仿宋_GB2312" w:hAnsi="Calibri" w:eastAsia="仿宋_GB2312" w:cs="Times New Roman"/>
          <w:b/>
          <w:sz w:val="32"/>
          <w:szCs w:val="32"/>
          <w:lang w:val="en-US" w:eastAsia="zh-CN"/>
        </w:rPr>
        <w:t>（1）</w:t>
      </w:r>
      <w:r>
        <w:rPr>
          <w:rFonts w:hint="default" w:ascii="仿宋_GB2312" w:hAnsi="Calibri" w:eastAsia="仿宋_GB2312" w:cs="Times New Roman"/>
          <w:b/>
          <w:sz w:val="32"/>
          <w:szCs w:val="32"/>
          <w:lang w:val="en-US" w:eastAsia="zh-CN"/>
        </w:rPr>
        <w:t>项目收入可行性</w:t>
      </w:r>
      <w:bookmarkEnd w:id="43"/>
    </w:p>
    <w:bookmarkEnd w:id="44"/>
    <w:p w14:paraId="308E5C96">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根据财政部《关于试点发展项目收益与融资自求平衡的地方政府专项债券品种的通知》（财预〔2017〕89号文），专项债券对应的项目取得的政府性基金或专项收入，应当按照该项目对应的专项债券余额统筹安排资金，专门用于偿还到期债券本息。</w:t>
      </w:r>
    </w:p>
    <w:p w14:paraId="3840E7FD">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本项目收入来源基于项目建设内容及项目建设规划。项目建设内容为：新建全民健身体育中心1处，占地面积30.43亩，总建筑面积22951.11平方米，其中，地上建筑面积12458.48平方米（包含篮球、羽毛球、乒乓球、网球、游泳等运动项目），地下建筑面积10492.63平方米。包括主体建筑安装工程、总图工程及设施设备购置等。项目规划篮球场3个、网球场1个、羽毛球场6个、乒乓球场6个、游泳池1个，设立活动座椅2000余座。项目建成后，场地可用于泸定县各行政事业单位举办相关仪式、活动，收取相关租赁收入。</w:t>
      </w:r>
    </w:p>
    <w:p w14:paraId="376C5C96">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本项目运营由业主单位委托具有运营资质的国有企业负责运营，项目收入实行专户管理，用于项目还本付息及日常运营支出。</w:t>
      </w:r>
    </w:p>
    <w:p w14:paraId="37A1C2AF">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本项目收费按照国家有关政策规定和价格政策，参照四川省、甘孜州、泸定县市场收费标准，并考虑项目区位、市场饱和度等因素，对项目收入的预测依据充分、合法合规，有较强的可行性。</w:t>
      </w:r>
    </w:p>
    <w:p w14:paraId="40DE23DB">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综上，项目的实施基础良好、增长潜力巨大，为项目运营期的各项收入提供了良好的支撑。</w:t>
      </w:r>
    </w:p>
    <w:p w14:paraId="6AC3CF8D">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本项目收益来源：举办活动收入、各类球场运营收入。</w:t>
      </w:r>
    </w:p>
    <w:p w14:paraId="702E9C32">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收费参考依据：</w:t>
      </w:r>
    </w:p>
    <w:p w14:paraId="3B63C3DB">
      <w:pPr>
        <w:spacing w:line="560" w:lineRule="exact"/>
        <w:ind w:firstLine="640" w:firstLineChars="200"/>
        <w:rPr>
          <w:rFonts w:hint="default" w:ascii="仿宋_GB2312" w:hAnsi="Calibri" w:eastAsia="仿宋_GB2312" w:cs="Times New Roman"/>
          <w:b w:val="0"/>
          <w:bCs/>
          <w:sz w:val="32"/>
          <w:szCs w:val="32"/>
          <w:lang w:val="en-US" w:eastAsia="zh-CN"/>
        </w:rPr>
      </w:pPr>
      <w:bookmarkStart w:id="45" w:name="_Hlk84431272"/>
      <w:r>
        <w:rPr>
          <w:rFonts w:hint="default" w:ascii="仿宋_GB2312" w:hAnsi="Calibri" w:eastAsia="仿宋_GB2312" w:cs="Times New Roman"/>
          <w:b w:val="0"/>
          <w:bCs/>
          <w:sz w:val="32"/>
          <w:szCs w:val="32"/>
          <w:lang w:val="en-US" w:eastAsia="zh-CN"/>
        </w:rPr>
        <w:t>同类型体育场馆场地使用价格；</w:t>
      </w:r>
    </w:p>
    <w:p w14:paraId="7928B0A6">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同类型赛事、活动价格；</w:t>
      </w:r>
    </w:p>
    <w:bookmarkEnd w:id="45"/>
    <w:p w14:paraId="3825226C">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所以，本项目的收入来源稳定，项目收入是可行的</w:t>
      </w:r>
    </w:p>
    <w:p w14:paraId="2BD653F4">
      <w:pPr>
        <w:spacing w:line="560" w:lineRule="exact"/>
        <w:ind w:firstLine="643" w:firstLineChars="200"/>
        <w:rPr>
          <w:rFonts w:hint="default" w:ascii="仿宋_GB2312" w:hAnsi="Calibri" w:eastAsia="仿宋_GB2312" w:cs="Times New Roman"/>
          <w:b/>
          <w:sz w:val="32"/>
          <w:szCs w:val="32"/>
          <w:lang w:val="en-US" w:eastAsia="zh-CN"/>
        </w:rPr>
      </w:pPr>
      <w:bookmarkStart w:id="46" w:name="_Toc22948"/>
      <w:bookmarkStart w:id="47" w:name="_Toc18830"/>
      <w:bookmarkStart w:id="48" w:name="_Toc2828"/>
      <w:bookmarkStart w:id="49" w:name="_Toc31903"/>
      <w:bookmarkStart w:id="50" w:name="_Toc13871"/>
      <w:bookmarkStart w:id="51" w:name="_Toc20147"/>
      <w:bookmarkStart w:id="52" w:name="_Toc2217"/>
      <w:r>
        <w:rPr>
          <w:rFonts w:hint="eastAsia" w:ascii="仿宋_GB2312" w:hAnsi="Calibri" w:eastAsia="仿宋_GB2312" w:cs="Times New Roman"/>
          <w:b/>
          <w:sz w:val="32"/>
          <w:szCs w:val="32"/>
          <w:lang w:val="en-US" w:eastAsia="zh-CN"/>
        </w:rPr>
        <w:t>（2）</w:t>
      </w:r>
      <w:r>
        <w:rPr>
          <w:rFonts w:hint="default" w:ascii="仿宋_GB2312" w:hAnsi="Calibri" w:eastAsia="仿宋_GB2312" w:cs="Times New Roman"/>
          <w:b/>
          <w:sz w:val="32"/>
          <w:szCs w:val="32"/>
          <w:lang w:val="en-US" w:eastAsia="zh-CN"/>
        </w:rPr>
        <w:t>项目收入的分类</w:t>
      </w:r>
      <w:bookmarkEnd w:id="46"/>
      <w:bookmarkEnd w:id="47"/>
      <w:bookmarkEnd w:id="48"/>
      <w:bookmarkEnd w:id="49"/>
      <w:bookmarkEnd w:id="50"/>
      <w:bookmarkEnd w:id="51"/>
      <w:bookmarkEnd w:id="52"/>
    </w:p>
    <w:p w14:paraId="10157E2E">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本项目全部为项目本身产生的专项收入，用于偿还专项债券的专项收入纳入政府性基金预算管理。</w:t>
      </w:r>
    </w:p>
    <w:p w14:paraId="4349ED58">
      <w:pPr>
        <w:spacing w:line="560" w:lineRule="exact"/>
        <w:ind w:firstLine="643" w:firstLineChars="200"/>
        <w:rPr>
          <w:rFonts w:hint="default" w:ascii="仿宋_GB2312" w:hAnsi="Calibri" w:eastAsia="仿宋_GB2312" w:cs="Times New Roman"/>
          <w:b/>
          <w:sz w:val="32"/>
          <w:szCs w:val="32"/>
          <w:lang w:val="en-US" w:eastAsia="zh-CN"/>
        </w:rPr>
      </w:pPr>
      <w:bookmarkStart w:id="53" w:name="_Toc1697"/>
      <w:bookmarkStart w:id="54" w:name="_Toc24231"/>
      <w:bookmarkStart w:id="55" w:name="_Toc24753"/>
      <w:bookmarkStart w:id="56" w:name="_Toc27800"/>
      <w:bookmarkStart w:id="57" w:name="_Toc19981"/>
      <w:bookmarkStart w:id="58" w:name="_Toc29245"/>
      <w:bookmarkStart w:id="59" w:name="_Toc13489"/>
      <w:bookmarkStart w:id="60" w:name="_Toc27697"/>
      <w:r>
        <w:rPr>
          <w:rFonts w:hint="eastAsia" w:ascii="仿宋_GB2312" w:hAnsi="Calibri" w:eastAsia="仿宋_GB2312" w:cs="Times New Roman"/>
          <w:b/>
          <w:sz w:val="32"/>
          <w:szCs w:val="32"/>
          <w:lang w:val="en-US" w:eastAsia="zh-CN"/>
        </w:rPr>
        <w:t>（3）</w:t>
      </w:r>
      <w:r>
        <w:rPr>
          <w:rFonts w:hint="default" w:ascii="仿宋_GB2312" w:hAnsi="Calibri" w:eastAsia="仿宋_GB2312" w:cs="Times New Roman"/>
          <w:b/>
          <w:sz w:val="32"/>
          <w:szCs w:val="32"/>
          <w:lang w:val="en-US" w:eastAsia="zh-CN"/>
        </w:rPr>
        <w:t>项目收入预测</w:t>
      </w:r>
      <w:bookmarkEnd w:id="53"/>
      <w:bookmarkEnd w:id="54"/>
      <w:bookmarkEnd w:id="55"/>
      <w:bookmarkEnd w:id="56"/>
      <w:bookmarkEnd w:id="57"/>
      <w:bookmarkEnd w:id="58"/>
      <w:bookmarkEnd w:id="59"/>
      <w:bookmarkEnd w:id="60"/>
    </w:p>
    <w:p w14:paraId="64B5F4AF">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1）</w:t>
      </w:r>
      <w:bookmarkStart w:id="61" w:name="_Hlk90221645"/>
      <w:r>
        <w:rPr>
          <w:rFonts w:hint="default" w:ascii="仿宋_GB2312" w:hAnsi="Calibri" w:eastAsia="仿宋_GB2312" w:cs="Times New Roman"/>
          <w:b w:val="0"/>
          <w:bCs/>
          <w:sz w:val="32"/>
          <w:szCs w:val="32"/>
          <w:lang w:val="en-US" w:eastAsia="zh-CN"/>
        </w:rPr>
        <w:t>举办活动收入（场馆年均举办活动次数×平均门票价格×场馆内座位量×销售率）</w:t>
      </w:r>
    </w:p>
    <w:bookmarkEnd w:id="61"/>
    <w:p w14:paraId="1A669D14">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①场馆年均举办活动次数</w:t>
      </w:r>
    </w:p>
    <w:p w14:paraId="63DF2B3C">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本项目设定大型篮球场1个、小型篮球场1个、户外篮球场1个、乒乓球场6个、网球场1个、羽毛球场6个、游泳池1个。场馆数量及面积足以满足泸定县全县行政事业单位举办体育活动及其他活动需求。根据甘孜州教育和体育局2024年5月08日发布的“2023年甘孜藏族自治州教育和体育概况” ，2023年全年全州各县举办群众赛事活动480余场次。本项目建成后，面向全州所有行政事业单位及普通广大群众，提供各类体育活动。项目初步保守估计全年能够分别举办大小各类活动共45场，占2023年全州各县举办群众赛事活动总场次9.37%。</w:t>
      </w:r>
    </w:p>
    <w:p w14:paraId="62CE3EE4">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②平均门票价格:根据武汉大运会官网票务网站查询，武汉军运会门票分为9档，最低票价10元，最高票价200元，80元以下的门票可销售坐席的90%，平均票价为50元。结合相关地域因素，本项目保守估计项目运营后平均票价为20元/座，考虑到物价上涨因素，价格每3年上浮3%。</w:t>
      </w:r>
    </w:p>
    <w:p w14:paraId="0863871E">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③场馆内座位量：根据项目建设规划，本项目设定活动座椅2000余座。</w:t>
      </w:r>
    </w:p>
    <w:p w14:paraId="24A60083">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④销售率：项目建成后，是面向全民的体育健身中心，保障泸定县群众体质发展，项目活动的门票价格较低，门票销量有一定的保障，则项目门票的销售率运营首年设置为65%，</w:t>
      </w:r>
      <w:bookmarkStart w:id="62" w:name="_Hlk84431502"/>
      <w:r>
        <w:rPr>
          <w:rFonts w:hint="default" w:ascii="仿宋_GB2312" w:hAnsi="Calibri" w:eastAsia="仿宋_GB2312" w:cs="Times New Roman"/>
          <w:b w:val="0"/>
          <w:bCs/>
          <w:sz w:val="32"/>
          <w:szCs w:val="32"/>
          <w:lang w:val="en-US" w:eastAsia="zh-CN"/>
        </w:rPr>
        <w:t>以后每年增长5%，达到85%后不再设置增长</w:t>
      </w:r>
      <w:bookmarkEnd w:id="62"/>
      <w:r>
        <w:rPr>
          <w:rFonts w:hint="default" w:ascii="仿宋_GB2312" w:hAnsi="Calibri" w:eastAsia="仿宋_GB2312" w:cs="Times New Roman"/>
          <w:b w:val="0"/>
          <w:bCs/>
          <w:sz w:val="32"/>
          <w:szCs w:val="32"/>
          <w:lang w:val="en-US" w:eastAsia="zh-CN"/>
        </w:rPr>
        <w:t>。</w:t>
      </w:r>
    </w:p>
    <w:p w14:paraId="1C5D8062">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2）篮球场运营收入（球场数量×运营时间×单价×使用率）</w:t>
      </w:r>
    </w:p>
    <w:p w14:paraId="1C7DB1D9">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①球场个数：根据项目可研报告及项目建设规划，本项目规划建设篮球场3个。</w:t>
      </w:r>
    </w:p>
    <w:p w14:paraId="6F21DE23">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②运营时间：本项目球场根据一般营业场所运营时间，设定为12小时/日，年运营时长按300天/年考虑。</w:t>
      </w:r>
    </w:p>
    <w:p w14:paraId="5069A588">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③单价：经查询泸定县同类场馆运营数据较少，暂无相关的运营案例，项目较为稀缺。参考稻城县24号篮球馆运营价格，300元/2小时包场。本项目建成后设施设备齐全，能瞒足各类群体需要，单价暂定为150元/1小时，考虑到物价上涨因素，价格每3年上浮3%。</w:t>
      </w:r>
    </w:p>
    <w:p w14:paraId="7F5EDBE2">
      <w:pPr>
        <w:spacing w:line="560" w:lineRule="exact"/>
        <w:ind w:firstLine="640" w:firstLineChars="200"/>
        <w:rPr>
          <w:rFonts w:hint="default" w:ascii="仿宋_GB2312" w:hAnsi="Calibri" w:eastAsia="仿宋_GB2312" w:cs="Times New Roman"/>
          <w:b w:val="0"/>
          <w:bCs/>
          <w:sz w:val="32"/>
          <w:szCs w:val="32"/>
          <w:lang w:val="en-US" w:eastAsia="zh-CN"/>
        </w:rPr>
      </w:pPr>
      <w:bookmarkStart w:id="63" w:name="_Hlk100652400"/>
      <w:r>
        <w:rPr>
          <w:rFonts w:hint="default" w:ascii="仿宋_GB2312" w:hAnsi="Calibri" w:eastAsia="仿宋_GB2312" w:cs="Times New Roman"/>
          <w:b w:val="0"/>
          <w:bCs/>
          <w:sz w:val="32"/>
          <w:szCs w:val="32"/>
          <w:lang w:val="en-US" w:eastAsia="zh-CN"/>
        </w:rPr>
        <w:t>④使用率：</w:t>
      </w:r>
      <w:bookmarkStart w:id="64" w:name="_Hlk84432313"/>
      <w:r>
        <w:rPr>
          <w:rFonts w:hint="default" w:ascii="仿宋_GB2312" w:hAnsi="Calibri" w:eastAsia="仿宋_GB2312" w:cs="Times New Roman"/>
          <w:b w:val="0"/>
          <w:bCs/>
          <w:sz w:val="32"/>
          <w:szCs w:val="32"/>
          <w:lang w:val="en-US" w:eastAsia="zh-CN"/>
        </w:rPr>
        <w:t>结合泸定县当地常住人口及日常运动方式，本项目篮球场使用率运营首年设置为70%，以后每年增长5%，达到90%后不再设置增长。</w:t>
      </w:r>
    </w:p>
    <w:bookmarkEnd w:id="63"/>
    <w:bookmarkEnd w:id="64"/>
    <w:p w14:paraId="655F63B1">
      <w:pPr>
        <w:spacing w:line="560" w:lineRule="exact"/>
        <w:ind w:firstLine="640" w:firstLineChars="200"/>
        <w:rPr>
          <w:rFonts w:hint="default" w:ascii="仿宋_GB2312" w:hAnsi="Calibri" w:eastAsia="仿宋_GB2312" w:cs="Times New Roman"/>
          <w:b w:val="0"/>
          <w:bCs/>
          <w:sz w:val="32"/>
          <w:szCs w:val="32"/>
          <w:lang w:val="en-US" w:eastAsia="zh-CN"/>
        </w:rPr>
      </w:pPr>
      <w:bookmarkStart w:id="65" w:name="_Hlk84432332"/>
      <w:r>
        <w:rPr>
          <w:rFonts w:hint="default" w:ascii="仿宋_GB2312" w:hAnsi="Calibri" w:eastAsia="仿宋_GB2312" w:cs="Times New Roman"/>
          <w:b w:val="0"/>
          <w:bCs/>
          <w:sz w:val="32"/>
          <w:szCs w:val="32"/>
          <w:lang w:val="en-US" w:eastAsia="zh-CN"/>
        </w:rPr>
        <w:t>3）网球场运营收入（单价×运营时间×出租率×球场个数）</w:t>
      </w:r>
    </w:p>
    <w:p w14:paraId="7319270E">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①球场个数：根据项目可研报告及项目建设规划，本项目规划建设网球场1个。</w:t>
      </w:r>
    </w:p>
    <w:p w14:paraId="732E8EE8">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②运营时间：本项目球场根据一般营业场所运营时间，设定为12小时/日，年运营时长按330天/年考虑。</w:t>
      </w:r>
    </w:p>
    <w:p w14:paraId="46F41DD3">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③单价：经查询泸定县同类场馆运营数据较少，暂无相关的运营案例，项目较为稀缺。参考成都地区羽毛球馆运营价格，60元/小时。网球相较于羽毛球场地要求更高，设施设备更齐全，本项目建成后能瞒足各类群体需要。运营单价暂定为60元/1小时，考虑到物价上涨因素，价格每3年上浮3%。</w:t>
      </w:r>
    </w:p>
    <w:p w14:paraId="2C826766">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④使用率：结合泸定县当地常住人口及日常运动方式，本项目网场使用率运营首年设置为60%，以后每年增长5%，达到80%后不再设置增长。</w:t>
      </w:r>
    </w:p>
    <w:p w14:paraId="5E2E8E90">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4）羽毛球场运营收入（单价×运营时间×出租率×球场个数）</w:t>
      </w:r>
    </w:p>
    <w:p w14:paraId="133BAEB1">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①球场个数：根据项目可研报告及项目建设规划，本项目规划建设羽毛球场6个。</w:t>
      </w:r>
    </w:p>
    <w:p w14:paraId="3139F2A5">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②运营时间：本项目球场根据一般营业场所运营时间，设定为12小时/日，年运营时长按330天/年考虑。</w:t>
      </w:r>
    </w:p>
    <w:p w14:paraId="495CC003">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③单价：经查询泸定县同类场馆运营数据较少，暂无相关的运营案例，项目较为稀缺。参考成都地区羽毛球馆运营价格60元/小时。本项目建成后能瞒足各类群体需要，考虑地域环境因素，本项目中羽毛球馆运营单价暂定为30元/1小时，考虑到物价上涨因素，价格每3年上浮3%。</w:t>
      </w:r>
    </w:p>
    <w:p w14:paraId="152B5DBC">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④使用率：结合泸定县当地常住人口及日常运动方式，本项目羽毛球馆使用率运营首年设置为70%，以后每年增长5%，达到85%后不再设置增长。</w:t>
      </w:r>
    </w:p>
    <w:p w14:paraId="5F14E71C">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5）乒乓球场运营收入（单价×运营时间×出租率×球场个数）</w:t>
      </w:r>
    </w:p>
    <w:p w14:paraId="6178CB23">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①球场个数：根据项目可研报告及项目建设规划，本项目规划建设乒乓球场6个。</w:t>
      </w:r>
    </w:p>
    <w:p w14:paraId="6F365A5C">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②运营时间：本项目球场根据一般营业场所运营时间，设定为12小时/日，年运营时长按330天/年考虑。</w:t>
      </w:r>
    </w:p>
    <w:p w14:paraId="42C3DBC0">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③单价：经查询泸定县同类场馆运营数据较少，暂无相关的运营案例，项目较为稀缺。参考成都地区乒乓球馆运营价40元/小时。本项目建成后能瞒足各类群体需要，考虑地域环境因素，本项目中乒乓球馆运营单价暂定为30元/1小时，考虑到物价上涨因素，价格每3年上浮3%。</w:t>
      </w:r>
    </w:p>
    <w:p w14:paraId="4AA3D51B">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④使用率：结合泸定县当地常住人口及日常运动方式，本项目乒乓球馆使用率运营首年设置为70%，以后每年增长5%，达到85%后不再设置增长。</w:t>
      </w:r>
    </w:p>
    <w:p w14:paraId="44496B72">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6）游泳馆场运营收入（场馆数量×日均人次×单价）</w:t>
      </w:r>
    </w:p>
    <w:p w14:paraId="5F92FF90">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①馆场数量：根据项目可研报告及项目建设规划，本项目规划建设游泳馆1个。</w:t>
      </w:r>
    </w:p>
    <w:p w14:paraId="146EDE51">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②日均人次：泸定县2022年常住人口8.38万人，县内现无体育馆、游泳馆相关设施，且泸定县作为近年来318旅游换线必经之路，旅游高峰期游客众多，游泳爱好者及县内群众对游泳场馆需求较大。从地理位置来看，项目区域离成都较近。本项目运营期首年，设定游泳场馆日均人次为200人，考虑到项目运营成熟性，后续年度按20人/天进行增长，最高增至260人/天后不再考虑增长。</w:t>
      </w:r>
    </w:p>
    <w:p w14:paraId="14403CA2">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③单价：经查询泸定县同类场馆运营数据较少，暂无相关的运营案例，项目较为稀缺。参考成都地区游泳馆运营价43元人/次。本项目建成后能瞒足各类群体需要，考虑地域环境因素，本项目中游泳场馆运营单价暂定为40元人/次，考虑到物价上涨因素，价格每3年上浮3%。</w:t>
      </w:r>
    </w:p>
    <w:p w14:paraId="21AEA0EE">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7）充电桩收入（充电服务费单价×充电枪数量×单次充电量×周转次数×充电桩使用率）</w:t>
      </w:r>
    </w:p>
    <w:p w14:paraId="6212494C">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①充电桩服务费单价：参考泸定县充电桩充电服务费价格，设定本项目充电桩服务费为0.7元/km，考虑到物价上涨因素，价格每3年上浮3%。</w:t>
      </w:r>
    </w:p>
    <w:p w14:paraId="002F69F7">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②充电枪数量：根据项目可行性研究报告及项目建设规划，本项目安装充电桩63个。</w:t>
      </w:r>
    </w:p>
    <w:p w14:paraId="78A0F115">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③单次充电量：目前电动汽车主流续航里程为460公里至660公里。本项目按照每车每次剩余大约20%时进行充电，充电至满负荷量需单次充电量约为69.00kwh。</w:t>
      </w:r>
    </w:p>
    <w:p w14:paraId="32C2B990">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④周转次数：结合泸定县现有充电桩数量及近年来电动汽车发展趋势。本项目运营期首年，设定周转次数为3次，运营期第四年起，设定周转次数为4次。后续不再考虑周转次数的增长。</w:t>
      </w:r>
    </w:p>
    <w:p w14:paraId="26CE24F3">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⑤充电桩使用率：本项目运营期首年，设定充电桩使用率为75%，后续年度每年增长5%。最高增至95%，后不再考虑增长。</w:t>
      </w:r>
    </w:p>
    <w:p w14:paraId="71320150">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8）停车位收入（单价×停车位数量×周转率×使用率）</w:t>
      </w:r>
    </w:p>
    <w:p w14:paraId="2E83E6E9">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①单价：</w:t>
      </w:r>
      <w:bookmarkStart w:id="66" w:name="_Hlk84432281"/>
      <w:r>
        <w:rPr>
          <w:rFonts w:hint="default" w:ascii="仿宋_GB2312" w:hAnsi="Calibri" w:eastAsia="仿宋_GB2312" w:cs="Times New Roman"/>
          <w:b w:val="0"/>
          <w:bCs/>
          <w:sz w:val="32"/>
          <w:szCs w:val="32"/>
          <w:lang w:val="en-US" w:eastAsia="zh-CN"/>
        </w:rPr>
        <w:t>按照《泸定县城区机动车临时占道停放收费实施方案》价格执行标准，泸定县目前停车收费白天停车起价3~5元/小时，首小时后每小时1~1.5元。</w:t>
      </w:r>
      <w:bookmarkStart w:id="67" w:name="_Hlk90129214"/>
      <w:r>
        <w:rPr>
          <w:rFonts w:hint="default" w:ascii="仿宋_GB2312" w:hAnsi="Calibri" w:eastAsia="仿宋_GB2312" w:cs="Times New Roman"/>
          <w:b w:val="0"/>
          <w:bCs/>
          <w:sz w:val="32"/>
          <w:szCs w:val="32"/>
          <w:lang w:val="en-US" w:eastAsia="zh-CN"/>
        </w:rPr>
        <w:t>本项目综合考虑白天停车和夜间停车情况。停车费单价暂按照8元/次估算</w:t>
      </w:r>
      <w:bookmarkEnd w:id="66"/>
      <w:bookmarkEnd w:id="67"/>
      <w:r>
        <w:rPr>
          <w:rFonts w:hint="default" w:ascii="仿宋_GB2312" w:hAnsi="Calibri" w:eastAsia="仿宋_GB2312" w:cs="Times New Roman"/>
          <w:b w:val="0"/>
          <w:bCs/>
          <w:sz w:val="32"/>
          <w:szCs w:val="32"/>
          <w:lang w:val="en-US" w:eastAsia="zh-CN"/>
        </w:rPr>
        <w:t>，暂不考虑增长。</w:t>
      </w:r>
    </w:p>
    <w:p w14:paraId="53C4B3FC">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②停车位数量：根据项目可行性研究报告及项目建设规划。本项目建成后将提供312个停车位（含电动充电停车位63个--仅仅收取充电桩服务费用，不额外收取停车费）。故本项目中停车位收费数量为249个。</w:t>
      </w:r>
    </w:p>
    <w:p w14:paraId="7AFE7A9D">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③日周转次数：本项目停车周转次数按照整天估算，不区分白天夜晚，停车周转次数按照2次/天/车位计。</w:t>
      </w:r>
    </w:p>
    <w:p w14:paraId="5E7E4709">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④车位使用率：遵守保守估计原则，本项目车位使用率在运营首年设置为70%，以后每年递增5%，达到90%后不再增长。</w:t>
      </w:r>
    </w:p>
    <w:bookmarkEnd w:id="65"/>
    <w:p w14:paraId="33C9A8F0">
      <w:pPr>
        <w:spacing w:line="560" w:lineRule="exact"/>
        <w:ind w:firstLine="643" w:firstLineChars="200"/>
        <w:rPr>
          <w:rFonts w:hint="eastAsia" w:ascii="仿宋_GB2312" w:hAnsi="Calibri" w:eastAsia="仿宋_GB2312" w:cs="Times New Roman"/>
          <w:b/>
          <w:bCs w:val="0"/>
          <w:sz w:val="32"/>
          <w:szCs w:val="32"/>
        </w:rPr>
      </w:pPr>
      <w:r>
        <w:rPr>
          <w:rFonts w:hint="default" w:ascii="仿宋_GB2312" w:hAnsi="Calibri" w:eastAsia="仿宋_GB2312" w:cs="Times New Roman"/>
          <w:b/>
          <w:bCs w:val="0"/>
          <w:sz w:val="32"/>
          <w:szCs w:val="32"/>
          <w:lang w:val="en-US" w:eastAsia="zh-CN"/>
        </w:rPr>
        <w:t>综上，根据上述分析可对本项目债券期限内项目收入进行测算。项目计算期内预计总收入为40240.56万元。</w:t>
      </w:r>
    </w:p>
    <w:p w14:paraId="0E09645C">
      <w:pPr>
        <w:numPr>
          <w:ilvl w:val="0"/>
          <w:numId w:val="0"/>
        </w:numPr>
        <w:spacing w:line="560" w:lineRule="exact"/>
        <w:ind w:firstLine="643" w:firstLineChars="200"/>
        <w:rPr>
          <w:rFonts w:hint="eastAsia" w:ascii="仿宋_GB2312" w:eastAsia="仿宋_GB2312"/>
          <w:b/>
          <w:sz w:val="32"/>
          <w:szCs w:val="32"/>
        </w:rPr>
      </w:pPr>
      <w:r>
        <w:rPr>
          <w:rFonts w:hint="eastAsia" w:ascii="仿宋_GB2312" w:eastAsia="仿宋_GB2312"/>
          <w:b/>
          <w:kern w:val="2"/>
          <w:sz w:val="32"/>
          <w:szCs w:val="32"/>
          <w:lang w:val="en-US" w:eastAsia="zh-CN" w:bidi="ar-SA"/>
        </w:rPr>
        <w:t>2.</w:t>
      </w:r>
      <w:r>
        <w:rPr>
          <w:rFonts w:hint="eastAsia" w:ascii="仿宋_GB2312" w:eastAsia="仿宋_GB2312"/>
          <w:b/>
          <w:sz w:val="32"/>
          <w:szCs w:val="32"/>
        </w:rPr>
        <w:t>项目成本</w:t>
      </w:r>
    </w:p>
    <w:p w14:paraId="646B33A5">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本项目成本包括经营成本、折旧摊销费用、财务费用、相关税费。</w:t>
      </w:r>
    </w:p>
    <w:p w14:paraId="57111919">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（1）经营成本</w:t>
      </w:r>
    </w:p>
    <w:p w14:paraId="0E60167D">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经营成本包括外购原材料、外购燃料及动力费、人员工资及福利费、维修费用、管理费用、销售费用等。</w:t>
      </w:r>
    </w:p>
    <w:p w14:paraId="560B42A3">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①外购原材料</w:t>
      </w:r>
    </w:p>
    <w:p w14:paraId="2F67178F">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外购原材料费用包括培训材料损耗费用及举办活动材料的损耗费用。按项目年收入的1.50%估算。</w:t>
      </w:r>
    </w:p>
    <w:p w14:paraId="7D67EDC4">
      <w:pPr>
        <w:spacing w:line="560" w:lineRule="exact"/>
        <w:ind w:firstLine="640" w:firstLineChars="200"/>
        <w:rPr>
          <w:rFonts w:hint="default" w:ascii="仿宋_GB2312" w:hAnsi="Calibri" w:eastAsia="仿宋_GB2312" w:cs="Times New Roman"/>
          <w:b w:val="0"/>
          <w:bCs/>
          <w:sz w:val="32"/>
          <w:szCs w:val="32"/>
          <w:lang w:val="en-US" w:eastAsia="zh-CN"/>
        </w:rPr>
      </w:pPr>
      <w:bookmarkStart w:id="68" w:name="_Hlk84440456"/>
      <w:r>
        <w:rPr>
          <w:rFonts w:hint="default" w:ascii="仿宋_GB2312" w:hAnsi="Calibri" w:eastAsia="仿宋_GB2312" w:cs="Times New Roman"/>
          <w:b w:val="0"/>
          <w:bCs/>
          <w:sz w:val="32"/>
          <w:szCs w:val="32"/>
          <w:lang w:val="en-US" w:eastAsia="zh-CN"/>
        </w:rPr>
        <w:t>②燃料及动力</w:t>
      </w:r>
    </w:p>
    <w:p w14:paraId="1BCE3744">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燃料及动力费主要为项目运营期的用电、用水消耗，按收入的1%估算。</w:t>
      </w:r>
    </w:p>
    <w:p w14:paraId="54F0E75B">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③工资及福利费</w:t>
      </w:r>
    </w:p>
    <w:p w14:paraId="696A0522">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人员工资及福利费包括基本工资、津贴补贴、奖金、绩效工资、其他社会保障缴费及其他工资福利支出等。</w:t>
      </w:r>
    </w:p>
    <w:p w14:paraId="0B395BC1">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项目在运营过程中，预计员工总人数为31人。其中固定工作人员16名，短期工15名。固定工作人员主要为场地管理人员2名、场地维护人员4名、安保人员4名、保洁人员6名。短期工15名主要考虑为举办活动活动需要，聘请相关人员。即本项目运营期首年，年工作及福利费为65.94万元。薪资每3年增长3%</w:t>
      </w:r>
      <w:bookmarkEnd w:id="68"/>
      <w:r>
        <w:rPr>
          <w:rFonts w:hint="default" w:ascii="仿宋_GB2312" w:hAnsi="Calibri" w:eastAsia="仿宋_GB2312" w:cs="Times New Roman"/>
          <w:b w:val="0"/>
          <w:bCs/>
          <w:sz w:val="32"/>
          <w:szCs w:val="32"/>
          <w:lang w:val="en-US" w:eastAsia="zh-CN"/>
        </w:rPr>
        <w:t>。</w:t>
      </w:r>
    </w:p>
    <w:p w14:paraId="257A7FB5">
      <w:pPr>
        <w:spacing w:line="560" w:lineRule="exact"/>
        <w:ind w:firstLine="640" w:firstLineChars="200"/>
        <w:rPr>
          <w:rFonts w:hint="default" w:ascii="仿宋_GB2312" w:hAnsi="Calibri" w:eastAsia="仿宋_GB2312" w:cs="Times New Roman"/>
          <w:b w:val="0"/>
          <w:bCs/>
          <w:sz w:val="32"/>
          <w:szCs w:val="32"/>
          <w:lang w:val="en-US" w:eastAsia="zh-CN"/>
        </w:rPr>
      </w:pPr>
      <w:bookmarkStart w:id="69" w:name="_Hlk84440473"/>
      <w:r>
        <w:rPr>
          <w:rFonts w:hint="default" w:ascii="仿宋_GB2312" w:hAnsi="Calibri" w:eastAsia="仿宋_GB2312" w:cs="Times New Roman"/>
          <w:b w:val="0"/>
          <w:bCs/>
          <w:sz w:val="32"/>
          <w:szCs w:val="32"/>
          <w:lang w:val="en-US" w:eastAsia="zh-CN"/>
        </w:rPr>
        <w:t>④维修费用</w:t>
      </w:r>
    </w:p>
    <w:p w14:paraId="2BBF8369">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本项目维修费用主要为相关运动设施维修、充电桩维修。本项目的维修费用按照固定资产折旧费用的1.5%考虑</w:t>
      </w:r>
      <w:bookmarkEnd w:id="69"/>
      <w:r>
        <w:rPr>
          <w:rFonts w:hint="default" w:ascii="仿宋_GB2312" w:hAnsi="Calibri" w:eastAsia="仿宋_GB2312" w:cs="Times New Roman"/>
          <w:b w:val="0"/>
          <w:bCs/>
          <w:sz w:val="32"/>
          <w:szCs w:val="32"/>
          <w:lang w:val="en-US" w:eastAsia="zh-CN"/>
        </w:rPr>
        <w:t>。</w:t>
      </w:r>
    </w:p>
    <w:p w14:paraId="3EB780FA">
      <w:pPr>
        <w:spacing w:line="560" w:lineRule="exact"/>
        <w:ind w:firstLine="640" w:firstLineChars="200"/>
        <w:rPr>
          <w:rFonts w:hint="default" w:ascii="仿宋_GB2312" w:hAnsi="Calibri" w:eastAsia="仿宋_GB2312" w:cs="Times New Roman"/>
          <w:b w:val="0"/>
          <w:bCs/>
          <w:sz w:val="32"/>
          <w:szCs w:val="32"/>
          <w:lang w:val="en-US" w:eastAsia="zh-CN"/>
        </w:rPr>
      </w:pPr>
      <w:bookmarkStart w:id="70" w:name="_Hlk84440506"/>
      <w:r>
        <w:rPr>
          <w:rFonts w:hint="default" w:ascii="仿宋_GB2312" w:hAnsi="Calibri" w:eastAsia="仿宋_GB2312" w:cs="Times New Roman"/>
          <w:b w:val="0"/>
          <w:bCs/>
          <w:sz w:val="32"/>
          <w:szCs w:val="32"/>
          <w:lang w:val="en-US" w:eastAsia="zh-CN"/>
        </w:rPr>
        <w:t>⑤管理费用</w:t>
      </w:r>
    </w:p>
    <w:p w14:paraId="4A099F92">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管理费用主要包括管理人员经费、日常办公用品发生的损耗、营销发生的费用等，本项目管理费用按照人员工资及福利费用的10%进行计取。</w:t>
      </w:r>
    </w:p>
    <w:p w14:paraId="6A95A55C">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⑥销售费用</w:t>
      </w:r>
    </w:p>
    <w:p w14:paraId="770FF794">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销售费用主要考虑为项目运营期间的各项活动及培训宣传费用，按项目年收入的1%考虑。</w:t>
      </w:r>
    </w:p>
    <w:bookmarkEnd w:id="70"/>
    <w:p w14:paraId="09998552">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（2）折旧费用</w:t>
      </w:r>
    </w:p>
    <w:p w14:paraId="4D0B8875">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本项目折旧费用为固定资产折旧，固定资产折旧按照项目建设投资金额为原值，</w:t>
      </w:r>
      <w:bookmarkStart w:id="71" w:name="_Hlk84440556"/>
      <w:r>
        <w:rPr>
          <w:rFonts w:hint="default" w:ascii="仿宋_GB2312" w:hAnsi="Calibri" w:eastAsia="仿宋_GB2312" w:cs="Times New Roman"/>
          <w:b w:val="0"/>
          <w:bCs/>
          <w:sz w:val="32"/>
          <w:szCs w:val="32"/>
          <w:lang w:val="en-US" w:eastAsia="zh-CN"/>
        </w:rPr>
        <w:t>折旧年限设置为30年，暂时不考虑残值</w:t>
      </w:r>
      <w:bookmarkEnd w:id="71"/>
      <w:r>
        <w:rPr>
          <w:rFonts w:hint="default" w:ascii="仿宋_GB2312" w:hAnsi="Calibri" w:eastAsia="仿宋_GB2312" w:cs="Times New Roman"/>
          <w:b w:val="0"/>
          <w:bCs/>
          <w:sz w:val="32"/>
          <w:szCs w:val="32"/>
          <w:lang w:val="en-US" w:eastAsia="zh-CN"/>
        </w:rPr>
        <w:t>。</w:t>
      </w:r>
    </w:p>
    <w:p w14:paraId="2E464A30">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即</w:t>
      </w:r>
      <w:bookmarkStart w:id="72" w:name="_Hlk84440523"/>
      <w:r>
        <w:rPr>
          <w:rFonts w:hint="default" w:ascii="仿宋_GB2312" w:hAnsi="Calibri" w:eastAsia="仿宋_GB2312" w:cs="Times New Roman"/>
          <w:b w:val="0"/>
          <w:bCs/>
          <w:sz w:val="32"/>
          <w:szCs w:val="32"/>
          <w:lang w:val="en-US" w:eastAsia="zh-CN"/>
        </w:rPr>
        <w:t>固定资产折旧费=工程建设投资/30。</w:t>
      </w:r>
      <w:bookmarkEnd w:id="72"/>
    </w:p>
    <w:p w14:paraId="6EB7E538">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（3）财务费用</w:t>
      </w:r>
    </w:p>
    <w:p w14:paraId="3E3163A0">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财务费用是指项目在运营期限内产生的专项债券利息，利率按照3.2%估算。</w:t>
      </w:r>
    </w:p>
    <w:p w14:paraId="3B9EDCE7">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（4）相关税费</w:t>
      </w:r>
    </w:p>
    <w:p w14:paraId="1E5F2CB8">
      <w:pPr>
        <w:spacing w:line="560" w:lineRule="exact"/>
        <w:ind w:firstLine="640" w:firstLineChars="200"/>
        <w:rPr>
          <w:rFonts w:hint="default" w:ascii="仿宋_GB2312" w:hAnsi="Calibri" w:eastAsia="仿宋_GB2312" w:cs="Times New Roman"/>
          <w:b w:val="0"/>
          <w:bCs/>
          <w:sz w:val="32"/>
          <w:szCs w:val="32"/>
          <w:lang w:val="en-US" w:eastAsia="zh-CN"/>
        </w:rPr>
      </w:pPr>
      <w:bookmarkStart w:id="73" w:name="_Hlk84440610"/>
      <w:r>
        <w:rPr>
          <w:rFonts w:hint="default" w:ascii="仿宋_GB2312" w:hAnsi="Calibri" w:eastAsia="仿宋_GB2312" w:cs="Times New Roman"/>
          <w:b w:val="0"/>
          <w:bCs/>
          <w:sz w:val="32"/>
          <w:szCs w:val="32"/>
          <w:lang w:val="en-US" w:eastAsia="zh-CN"/>
        </w:rPr>
        <w:t>根据项目实际情况项目，应缴纳税金为增值税、城市护建设税、教育费附加以及地方教育费附加等。</w:t>
      </w:r>
    </w:p>
    <w:p w14:paraId="21932B50">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增值税：本项目增值税考虑进项税抵扣，进项税、销项税分别测算。</w:t>
      </w:r>
    </w:p>
    <w:p w14:paraId="2B5FB151">
      <w:pPr>
        <w:spacing w:line="560" w:lineRule="exact"/>
        <w:ind w:firstLine="640" w:firstLineChars="200"/>
        <w:rPr>
          <w:rFonts w:hint="default" w:ascii="仿宋_GB2312" w:hAnsi="Calibri" w:eastAsia="仿宋_GB2312" w:cs="Times New Roman"/>
          <w:b w:val="0"/>
          <w:bCs/>
          <w:sz w:val="32"/>
          <w:szCs w:val="32"/>
          <w:lang w:val="en-US" w:eastAsia="zh-CN"/>
        </w:rPr>
      </w:pPr>
      <w:bookmarkStart w:id="74" w:name="_Hlk90222757"/>
      <w:r>
        <w:rPr>
          <w:rFonts w:hint="default" w:ascii="仿宋_GB2312" w:hAnsi="Calibri" w:eastAsia="仿宋_GB2312" w:cs="Times New Roman"/>
          <w:b w:val="0"/>
          <w:bCs/>
          <w:sz w:val="32"/>
          <w:szCs w:val="32"/>
          <w:lang w:val="en-US" w:eastAsia="zh-CN"/>
        </w:rPr>
        <w:t>进项税：本项目进项税考虑为项目建设期的进项税抵扣及项目运营成本所产生的进项税。建设期进项税抵扣按照工程建设费用的9%，工程建设其他费用的6%抵扣。运营期进项税考虑为原材料和燃料动力费进项税，按6%估算。据此估算项目进项税可抵扣金额为1533.93万元。</w:t>
      </w:r>
    </w:p>
    <w:p w14:paraId="3F674E41">
      <w:pPr>
        <w:spacing w:line="560" w:lineRule="exact"/>
        <w:ind w:firstLine="640" w:firstLineChars="200"/>
        <w:rPr>
          <w:rFonts w:hint="default" w:ascii="仿宋_GB2312" w:hAnsi="Calibri" w:eastAsia="仿宋_GB2312" w:cs="Times New Roman"/>
          <w:b w:val="0"/>
          <w:bCs/>
          <w:sz w:val="32"/>
          <w:szCs w:val="32"/>
          <w:lang w:val="en-US" w:eastAsia="zh-CN"/>
        </w:rPr>
      </w:pPr>
      <w:bookmarkStart w:id="75" w:name="_Hlk100652951"/>
      <w:r>
        <w:rPr>
          <w:rFonts w:hint="default" w:ascii="仿宋_GB2312" w:hAnsi="Calibri" w:eastAsia="仿宋_GB2312" w:cs="Times New Roman"/>
          <w:b w:val="0"/>
          <w:bCs/>
          <w:sz w:val="32"/>
          <w:szCs w:val="32"/>
          <w:lang w:val="en-US" w:eastAsia="zh-CN"/>
        </w:rPr>
        <w:t>销项税：本项目活动收入增值税率按照9%估算，其余收入均按照6%估算</w:t>
      </w:r>
      <w:bookmarkEnd w:id="75"/>
      <w:r>
        <w:rPr>
          <w:rFonts w:hint="default" w:ascii="仿宋_GB2312" w:hAnsi="Calibri" w:eastAsia="仿宋_GB2312" w:cs="Times New Roman"/>
          <w:b w:val="0"/>
          <w:bCs/>
          <w:sz w:val="32"/>
          <w:szCs w:val="32"/>
          <w:lang w:val="en-US" w:eastAsia="zh-CN"/>
        </w:rPr>
        <w:t>。</w:t>
      </w:r>
    </w:p>
    <w:bookmarkEnd w:id="74"/>
    <w:p w14:paraId="17DBCAA0">
      <w:pPr>
        <w:spacing w:line="560" w:lineRule="exact"/>
        <w:ind w:firstLine="640" w:firstLineChars="200"/>
        <w:rPr>
          <w:rFonts w:hint="default"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城市维护建设税税率为5%，教育费附加费率为3%，地方教育费附加费率为2%。</w:t>
      </w:r>
    </w:p>
    <w:bookmarkEnd w:id="73"/>
    <w:p w14:paraId="7FE36D4D">
      <w:pPr>
        <w:spacing w:line="560" w:lineRule="exact"/>
        <w:ind w:firstLine="640" w:firstLineChars="200"/>
        <w:rPr>
          <w:rFonts w:hint="eastAsia" w:ascii="仿宋_GB2312" w:hAnsi="Calibri" w:eastAsia="仿宋_GB2312" w:cs="Times New Roman"/>
          <w:b w:val="0"/>
          <w:bCs/>
          <w:sz w:val="32"/>
          <w:szCs w:val="32"/>
          <w:lang w:val="en-US" w:eastAsia="zh-CN"/>
        </w:rPr>
      </w:pPr>
      <w:r>
        <w:rPr>
          <w:rFonts w:hint="default" w:ascii="仿宋_GB2312" w:hAnsi="Calibri" w:eastAsia="仿宋_GB2312" w:cs="Times New Roman"/>
          <w:b w:val="0"/>
          <w:bCs/>
          <w:sz w:val="32"/>
          <w:szCs w:val="32"/>
          <w:lang w:val="en-US" w:eastAsia="zh-CN"/>
        </w:rPr>
        <w:t>综上所述，经计算可知，本项目预测期成本费用为35676.53万元。</w:t>
      </w:r>
    </w:p>
    <w:p w14:paraId="2303FAF4">
      <w:pPr>
        <w:spacing w:line="560" w:lineRule="exact"/>
        <w:ind w:firstLine="643" w:firstLineChars="200"/>
        <w:rPr>
          <w:rFonts w:ascii="楷体_GB2312" w:eastAsia="楷体_GB2312"/>
          <w:b/>
          <w:sz w:val="32"/>
          <w:szCs w:val="32"/>
        </w:rPr>
      </w:pPr>
      <w:r>
        <w:rPr>
          <w:rFonts w:hint="eastAsia" w:ascii="楷体_GB2312" w:eastAsia="楷体_GB2312"/>
          <w:b/>
          <w:sz w:val="32"/>
          <w:szCs w:val="32"/>
        </w:rPr>
        <w:t>（二）资金测算平衡情况</w:t>
      </w:r>
    </w:p>
    <w:p w14:paraId="2E6430A8">
      <w:pPr>
        <w:widowControl/>
        <w:adjustRightInd w:val="0"/>
        <w:snapToGrid w:val="0"/>
        <w:spacing w:after="217" w:afterLines="50" w:line="560" w:lineRule="exact"/>
        <w:ind w:firstLine="640" w:firstLineChars="200"/>
        <w:rPr>
          <w:rFonts w:hint="eastAsia" w:ascii="仿宋_GB2312" w:hAnsi="华文楷体" w:eastAsia="仿宋_GB2312"/>
          <w:sz w:val="32"/>
          <w:szCs w:val="32"/>
          <w:lang w:val="en-GB" w:eastAsia="zh-CN"/>
        </w:rPr>
        <w:sectPr>
          <w:pgSz w:w="11906" w:h="16838"/>
          <w:pgMar w:top="2098" w:right="1418" w:bottom="1588" w:left="1644" w:header="851" w:footer="992" w:gutter="0"/>
          <w:pgNumType w:fmt="decimal"/>
          <w:cols w:space="720" w:num="1"/>
          <w:docGrid w:type="lines" w:linePitch="435" w:charSpace="0"/>
        </w:sectPr>
      </w:pPr>
      <w:r>
        <w:rPr>
          <w:rFonts w:hint="default" w:ascii="仿宋_GB2312" w:hAnsi="华文楷体" w:eastAsia="仿宋_GB2312"/>
          <w:sz w:val="32"/>
          <w:szCs w:val="32"/>
          <w:lang w:val="en-GB"/>
        </w:rPr>
        <w:t>若项目在满足上述资金筹集计划、项目实施计划、资金使用计划及预期收益的假设前提下，政府专项债到期日累计资金结余</w:t>
      </w:r>
      <w:r>
        <w:rPr>
          <w:rFonts w:hint="default" w:ascii="仿宋_GB2312" w:hAnsi="华文楷体" w:eastAsia="仿宋_GB2312"/>
          <w:sz w:val="32"/>
          <w:szCs w:val="32"/>
          <w:lang w:val="en-GB" w:eastAsia="zh-CN"/>
        </w:rPr>
        <w:t>5,848.77</w:t>
      </w:r>
      <w:r>
        <w:rPr>
          <w:rFonts w:hint="default" w:ascii="仿宋_GB2312" w:hAnsi="华文楷体" w:eastAsia="仿宋_GB2312"/>
          <w:sz w:val="32"/>
          <w:szCs w:val="32"/>
          <w:lang w:val="en-GB"/>
        </w:rPr>
        <w:t>万元，项目在预测期内可实现息前净现金流</w:t>
      </w:r>
      <w:r>
        <w:rPr>
          <w:rFonts w:hint="default" w:ascii="仿宋_GB2312" w:hAnsi="华文楷体" w:eastAsia="仿宋_GB2312"/>
          <w:sz w:val="32"/>
          <w:szCs w:val="32"/>
          <w:lang w:val="en-GB" w:eastAsia="zh-CN"/>
        </w:rPr>
        <w:t>34,288.77</w:t>
      </w:r>
      <w:r>
        <w:rPr>
          <w:rFonts w:hint="default" w:ascii="仿宋_GB2312" w:hAnsi="华文楷体" w:eastAsia="仿宋_GB2312"/>
          <w:sz w:val="32"/>
          <w:szCs w:val="32"/>
          <w:lang w:val="en-GB"/>
        </w:rPr>
        <w:t>万元，政府专项债券到期本息合计</w:t>
      </w:r>
      <w:r>
        <w:rPr>
          <w:rFonts w:hint="default" w:ascii="仿宋_GB2312" w:hAnsi="华文楷体" w:eastAsia="仿宋_GB2312"/>
          <w:sz w:val="32"/>
          <w:szCs w:val="32"/>
          <w:lang w:val="en-GB" w:eastAsia="zh-CN"/>
        </w:rPr>
        <w:t>29,400.00</w:t>
      </w:r>
      <w:r>
        <w:rPr>
          <w:rFonts w:hint="default" w:ascii="仿宋_GB2312" w:hAnsi="华文楷体" w:eastAsia="仿宋_GB2312"/>
          <w:sz w:val="32"/>
          <w:szCs w:val="32"/>
          <w:lang w:val="en-GB"/>
        </w:rPr>
        <w:t>万元，本项目息前净现金流/政府专项债本息的收益覆盖倍数为</w:t>
      </w:r>
      <w:r>
        <w:rPr>
          <w:rFonts w:hint="default" w:ascii="仿宋_GB2312" w:hAnsi="华文楷体" w:eastAsia="仿宋_GB2312"/>
          <w:sz w:val="32"/>
          <w:szCs w:val="32"/>
          <w:lang w:val="en-GB" w:eastAsia="zh-CN"/>
        </w:rPr>
        <w:t>1.17</w:t>
      </w:r>
      <w:r>
        <w:rPr>
          <w:rFonts w:hint="default" w:ascii="仿宋_GB2312" w:hAnsi="华文楷体" w:eastAsia="仿宋_GB2312"/>
          <w:sz w:val="32"/>
          <w:szCs w:val="32"/>
          <w:lang w:val="en-GB"/>
        </w:rPr>
        <w:t>倍。期间不存在资金缺口</w:t>
      </w:r>
      <w:r>
        <w:rPr>
          <w:rFonts w:hint="eastAsia" w:ascii="仿宋_GB2312" w:hAnsi="华文楷体" w:eastAsia="仿宋_GB2312"/>
          <w:sz w:val="32"/>
          <w:szCs w:val="32"/>
          <w:lang w:val="en-GB" w:eastAsia="zh-CN"/>
        </w:rPr>
        <w:t>。</w:t>
      </w:r>
    </w:p>
    <w:p w14:paraId="5420DA1B">
      <w:pPr>
        <w:widowControl/>
        <w:adjustRightInd w:val="0"/>
        <w:snapToGrid w:val="0"/>
        <w:spacing w:after="217" w:afterLines="50" w:line="560" w:lineRule="exact"/>
        <w:ind w:firstLine="643" w:firstLineChars="200"/>
        <w:jc w:val="center"/>
        <w:rPr>
          <w:rFonts w:ascii="仿宋_GB2312" w:eastAsia="仿宋_GB2312"/>
          <w:b/>
          <w:bCs/>
          <w:sz w:val="32"/>
          <w:szCs w:val="32"/>
        </w:rPr>
      </w:pPr>
      <w:r>
        <w:rPr>
          <w:rFonts w:hint="eastAsia" w:ascii="仿宋_GB2312" w:hAnsi="华文楷体" w:eastAsia="仿宋_GB2312" w:cs="Times New Roman"/>
          <w:b/>
          <w:bCs/>
          <w:sz w:val="32"/>
          <w:szCs w:val="32"/>
          <w:lang w:val="en-US" w:eastAsia="zh-CN"/>
        </w:rPr>
        <w:t>泸定县全民健身体育中心建设项目</w:t>
      </w:r>
      <w:r>
        <w:rPr>
          <w:rFonts w:hint="eastAsia" w:ascii="仿宋_GB2312" w:hAnsi="华文楷体" w:eastAsia="仿宋_GB2312" w:cs="Times New Roman"/>
          <w:b/>
          <w:bCs/>
          <w:sz w:val="32"/>
          <w:szCs w:val="32"/>
          <w:lang w:val="en-GB"/>
        </w:rPr>
        <w:t>资金测算平衡表</w:t>
      </w:r>
    </w:p>
    <w:tbl>
      <w:tblPr>
        <w:tblStyle w:val="14"/>
        <w:tblW w:w="499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51" w:type="dxa"/>
          <w:bottom w:w="0" w:type="dxa"/>
          <w:right w:w="51" w:type="dxa"/>
        </w:tblCellMar>
      </w:tblPr>
      <w:tblGrid>
        <w:gridCol w:w="302"/>
        <w:gridCol w:w="1779"/>
        <w:gridCol w:w="796"/>
        <w:gridCol w:w="716"/>
        <w:gridCol w:w="796"/>
        <w:gridCol w:w="596"/>
        <w:gridCol w:w="662"/>
        <w:gridCol w:w="662"/>
        <w:gridCol w:w="662"/>
        <w:gridCol w:w="662"/>
        <w:gridCol w:w="662"/>
        <w:gridCol w:w="662"/>
        <w:gridCol w:w="662"/>
        <w:gridCol w:w="742"/>
        <w:gridCol w:w="742"/>
        <w:gridCol w:w="742"/>
        <w:gridCol w:w="742"/>
        <w:gridCol w:w="742"/>
      </w:tblGrid>
      <w:tr w14:paraId="417DC9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285"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AB8BF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序号</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26917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项目</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FD20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 合计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4A88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第1年</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694C8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第2年</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0558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第3年</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C862C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第4年</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FA00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第5年</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4559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第6年</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598B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第7年</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E180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第8年</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D50B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第9年</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1AEE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第10年</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75C8E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第11年</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AC99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第12年</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E83E6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第13年</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D52F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第14年</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3FF3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第15年</w:t>
            </w:r>
          </w:p>
        </w:tc>
      </w:tr>
      <w:tr w14:paraId="49A2A6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675"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85A9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一</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7732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经营活动产生的净现金流量</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E6961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34,288.77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5FCF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AA77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F01E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821.06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676D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891.84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469D7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982.40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D142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1,153.29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995A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1,188.75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6BE7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1,205.55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0F29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1,213.30 </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0E7A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1,213.30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72003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1,230.60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D16DF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1,238.59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A43E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1,238.59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3934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1,256.41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26E06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1,264.63 </w:t>
            </w:r>
          </w:p>
        </w:tc>
      </w:tr>
      <w:tr w14:paraId="3CA754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285"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A64A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1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D3829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现金流入</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0147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40,240.56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0529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83980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9515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936.14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9713E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1,009.48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57DA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1,103.33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3519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1,290.11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D0B0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1,339.10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1946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1,362.31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ED87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1,375.35 </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1073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1,375.35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AE10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1,399.25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F2DB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1,412.68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7EC35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1,412.68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F4EFC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1,437.30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BB12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1,451.13 </w:t>
            </w:r>
          </w:p>
        </w:tc>
      </w:tr>
      <w:tr w14:paraId="1A508D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285"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5A4D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1.1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8543E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经营收入</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411F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40,240.56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12FF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8B9B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DC39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936.14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B759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1,009.48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BA14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1,103.33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C9C8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1,290.11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5B0A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1,339.10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43AF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1,362.31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9CC8A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1,375.35 </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031C8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1,375.35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BAA02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1,399.25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72EA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1,412.68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D479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1,412.68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FF43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1,437.30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EE10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1,451.13 </w:t>
            </w:r>
          </w:p>
        </w:tc>
      </w:tr>
      <w:tr w14:paraId="18E843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285"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FFE2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B384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现金流出</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A366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5,951.79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84F6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D327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D5C62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115.08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7968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117.64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DFE68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120.93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2581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136.82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3A71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150.35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9E0E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156.76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3E179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162.05 </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EA2E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162.05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C76E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168.65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D3B2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174.09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34B3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174.09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76AC7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180.89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D8EC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186.50 </w:t>
            </w:r>
          </w:p>
        </w:tc>
      </w:tr>
      <w:tr w14:paraId="1401CA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266"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B9B8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2.1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BFB0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经营成本</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4F59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3,987.44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8316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0E70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3F66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115.08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8CBC3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117.64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98558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120.93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75EB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129.64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E1E3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131.35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F35D7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132.17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AC77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134.86 </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E755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134.86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5C3D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135.70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3FB9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138.48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B5126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138.48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93BAE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139.34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D3A2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142.20 </w:t>
            </w:r>
          </w:p>
        </w:tc>
      </w:tr>
      <w:tr w14:paraId="408900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350"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1EB3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2.2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ACAC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相关税费（相关税费+企业所得税）</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B4A5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1,964.35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0E05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2B2C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E8A9D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150B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29C17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2695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7.18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8A51B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19.00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B8AC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24.60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49D2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27.18 </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6BAD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27.18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D7D3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32.95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2ABA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35.61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5056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35.61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83F7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41.55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0862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44.29 </w:t>
            </w:r>
          </w:p>
        </w:tc>
      </w:tr>
      <w:tr w14:paraId="200C01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450"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1DE9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二</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F04F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投资活动净现金流量</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8A3B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-18,577.60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CE041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-8,014.00 </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5CA5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-10,563.60 </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1B83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9EA2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2521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4461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DB86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DBF3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1C236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813F3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0A8E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AB35A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2A318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84C4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E22C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r>
      <w:tr w14:paraId="7BC9B6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285"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FDA3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2537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现金流入</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71DB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0.00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1031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E84A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D1CD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53FAD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0EAA9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C82B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6BB3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71EF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5023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F8006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0E2A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5E26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D816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973F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4A9B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r>
      <w:tr w14:paraId="3673A0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285"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F0D3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2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A370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现金流出</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E765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18,577.60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DE05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8,014.00 </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FC4E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10,563.60 </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F379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302C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874F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98A0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0A02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D36B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1843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782DB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9BCB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E9B7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BD1B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D679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3DEF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r>
      <w:tr w14:paraId="1F9A24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285"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43AE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2.1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BB28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建设投资</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AA8DA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18,577.60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E055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8,014.00 </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F0EB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10,563.60 </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E3504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36347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D020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CD18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2075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A42D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1448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69C5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23AA3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D3E1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CDA9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71861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C6A52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r>
      <w:tr w14:paraId="7CD061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450"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408E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三</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3D796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筹措活动净现金流量</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04E7A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-9,862.40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99FA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8,014.00 </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9658E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10,563.60 </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C974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C82CF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818F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58DC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8566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A909C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5534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F6DBC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F8016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2B871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0886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DCD7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575D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r>
      <w:tr w14:paraId="2778E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285"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7C80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84A3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现金流入</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A917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19,552.60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947D0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8,500.00 </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3037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11,052.60 </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21F26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546E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3CFD7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43EF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0275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EF6A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20BF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CDB5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B242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0F5E5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BF25A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A8E7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4BC34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r>
      <w:tr w14:paraId="090C02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50"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D2C0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1.1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5C04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项目资本金投入</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7618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4,552.60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ED15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2,500.00 </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FD58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2,052.60 </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3F59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5B68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94B98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B608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8092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29836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0F6A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B6F6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0F49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C798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C41B5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C906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8167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r>
      <w:tr w14:paraId="575D10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450"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D4B1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1.2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77078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专项债券资金</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9E0F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15,000.00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4CA5E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6,000.00 </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D4D3E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9,000.00 </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1104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BAB4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7E6A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9B4B1">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5C7E4">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BE6B7D">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B484F">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03493">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BEC5E">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7ACE2">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A6F40">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66893">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2DCCBC">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r>
      <w:tr w14:paraId="123D31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85"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B0C4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2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7786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现金流出</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0612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29,415.00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3F86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486.00 </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B28B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489.00 </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AAB2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0AB6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18E6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9756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AFF6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9A6B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EF535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8662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0088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351E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1E09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A15D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1BE2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r>
      <w:tr w14:paraId="7E0100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290"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6843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2.1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182F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支付债券利息</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0A31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14,400.00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E5FA4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3EE7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AD9E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330A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E15D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3B08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0D92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2E48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04D26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374F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1CED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43F6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AED6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E848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03A38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r>
      <w:tr w14:paraId="37E6D9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230"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D067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2.2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BF11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支付债券发行费用</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3967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15.00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EBFA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6.00 </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1E43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9.00 </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91E6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9E21E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F2AB58">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7B3884">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CD4A4">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D6D62C">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7E481A">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C867F">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EFA399">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29DCC">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4C8E5">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E716A7">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109FB">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r>
      <w:tr w14:paraId="6994F3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255"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4206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2.5 </w:t>
            </w:r>
          </w:p>
        </w:tc>
        <w:tc>
          <w:tcPr>
            <w:tcW w:w="906" w:type="pct"/>
            <w:tcBorders>
              <w:top w:val="single" w:color="000000" w:sz="4" w:space="0"/>
              <w:left w:val="single" w:color="000000" w:sz="4" w:space="0"/>
              <w:bottom w:val="nil"/>
              <w:right w:val="single" w:color="000000" w:sz="4" w:space="0"/>
            </w:tcBorders>
            <w:shd w:val="clear" w:color="auto" w:fill="auto"/>
            <w:vAlign w:val="center"/>
          </w:tcPr>
          <w:p w14:paraId="3D1BE61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支付专项债券本金</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DC8E0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15,000.00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A2D00">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B9F33">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E8DA6">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B6440">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5CCBC">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08D4C">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FB02E">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FECC4">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047DE">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D4D9E">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BF465">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A2D48">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D7A0C">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D8A038">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3D26E">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r>
      <w:tr w14:paraId="5493D8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230"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ABFD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四</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2B81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现金流量总计</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0E48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3550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94430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B5D6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682.13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C3EC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1,505.81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16A5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2,510.61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DB23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3,857.19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9622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5,274.69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5CD71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6,725.78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6FED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8,192.38 </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8A1A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9,658.99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72453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11,160.19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7CA0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12,677.36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B521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14,194.54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9797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15,747.35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8D2B4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17,316.62 </w:t>
            </w:r>
          </w:p>
        </w:tc>
      </w:tr>
      <w:tr w14:paraId="0BC863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260"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6503A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1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3149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项目期的期初资金</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BC22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4426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EF5F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9901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0</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F2CF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341.06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8C44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752.90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9842D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1,255.31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C0DFF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1,928.60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6750C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2,637.34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3D2F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3,362.89 </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6C78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4,096.19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0FFFD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4,829.49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89C8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5,580.09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14F4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6,338.68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6EAD1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7,097.27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AD60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7,873.68 </w:t>
            </w:r>
          </w:p>
        </w:tc>
      </w:tr>
      <w:tr w14:paraId="64BF4B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335"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6616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BEF9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项目期内现金变动（一+二+三）</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8E43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5,848.77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D7E4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0C9F9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18D3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341.06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7F096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411.84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AB25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502.40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95C5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673.29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52F0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708.75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E727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725.55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D544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733.30 </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40204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733.30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6E61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750.60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82FA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758.59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11DC4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758.59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E9CF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776.41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4F12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784.63 </w:t>
            </w:r>
          </w:p>
        </w:tc>
      </w:tr>
      <w:tr w14:paraId="0A708B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450" w:hRule="atLeast"/>
        </w:trPr>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6DC3A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3 </w:t>
            </w:r>
          </w:p>
        </w:tc>
        <w:tc>
          <w:tcPr>
            <w:tcW w:w="9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3DFA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项目期的期末资金</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9906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4CD2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77ECC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6C29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341.06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8C5F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752.90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FD679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1,255.31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ED31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1,928.60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334D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2,637.34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96934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3,362.89 </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026D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4,096.19 </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D3040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4,829.49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E18A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5,580.09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F6440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6,338.68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40DA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7,097.27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3953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7,873.68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DFCE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8,658.31 </w:t>
            </w:r>
          </w:p>
        </w:tc>
      </w:tr>
    </w:tbl>
    <w:p w14:paraId="126BC782">
      <w:pPr>
        <w:widowControl/>
        <w:adjustRightInd w:val="0"/>
        <w:snapToGrid w:val="0"/>
        <w:spacing w:after="217" w:afterLines="50" w:line="560" w:lineRule="exact"/>
        <w:ind w:firstLine="640" w:firstLineChars="200"/>
        <w:jc w:val="center"/>
        <w:rPr>
          <w:rFonts w:ascii="仿宋_GB2312" w:eastAsia="仿宋_GB2312"/>
          <w:sz w:val="32"/>
          <w:szCs w:val="32"/>
        </w:rPr>
        <w:sectPr>
          <w:pgSz w:w="16838" w:h="11906" w:orient="landscape"/>
          <w:pgMar w:top="1440" w:right="1800" w:bottom="1440" w:left="1800" w:header="851" w:footer="992" w:gutter="0"/>
          <w:pgNumType w:fmt="decimal"/>
          <w:cols w:space="720" w:num="1"/>
          <w:docGrid w:type="lines" w:linePitch="435" w:charSpace="0"/>
        </w:sectPr>
      </w:pPr>
    </w:p>
    <w:p w14:paraId="618FC0ED">
      <w:pPr>
        <w:widowControl/>
        <w:adjustRightInd w:val="0"/>
        <w:snapToGrid w:val="0"/>
        <w:spacing w:after="217" w:afterLines="50" w:line="560" w:lineRule="exact"/>
        <w:ind w:firstLine="643" w:firstLineChars="200"/>
        <w:jc w:val="center"/>
        <w:rPr>
          <w:rFonts w:hint="default" w:ascii="仿宋_GB2312" w:hAnsi="华文楷体" w:eastAsia="仿宋_GB2312" w:cs="Times New Roman"/>
          <w:b/>
          <w:bCs/>
          <w:sz w:val="32"/>
          <w:szCs w:val="32"/>
          <w:lang w:val="en-US" w:eastAsia="zh-CN"/>
        </w:rPr>
      </w:pPr>
      <w:r>
        <w:rPr>
          <w:rFonts w:hint="eastAsia" w:ascii="仿宋_GB2312" w:hAnsi="华文楷体" w:eastAsia="仿宋_GB2312" w:cs="Times New Roman"/>
          <w:b/>
          <w:bCs/>
          <w:sz w:val="32"/>
          <w:szCs w:val="32"/>
          <w:lang w:val="en-US" w:eastAsia="zh-CN"/>
        </w:rPr>
        <w:t>续前表</w:t>
      </w:r>
    </w:p>
    <w:tbl>
      <w:tblPr>
        <w:tblStyle w:val="14"/>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51" w:type="dxa"/>
          <w:bottom w:w="0" w:type="dxa"/>
          <w:right w:w="51" w:type="dxa"/>
        </w:tblCellMar>
      </w:tblPr>
      <w:tblGrid>
        <w:gridCol w:w="302"/>
        <w:gridCol w:w="1847"/>
        <w:gridCol w:w="742"/>
        <w:gridCol w:w="742"/>
        <w:gridCol w:w="742"/>
        <w:gridCol w:w="742"/>
        <w:gridCol w:w="742"/>
        <w:gridCol w:w="742"/>
        <w:gridCol w:w="742"/>
        <w:gridCol w:w="742"/>
        <w:gridCol w:w="742"/>
        <w:gridCol w:w="742"/>
        <w:gridCol w:w="742"/>
        <w:gridCol w:w="742"/>
        <w:gridCol w:w="742"/>
        <w:gridCol w:w="742"/>
        <w:gridCol w:w="796"/>
      </w:tblGrid>
      <w:tr w14:paraId="1DE48C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285"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C341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序号</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FCEE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项目</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3653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第16年</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C3B0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第17年</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7A25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第18年</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A66AB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第19年</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F721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第20年</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7078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第21年</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4AF34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第22年</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44AE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第23年</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073C7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第24年</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F1DD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第25年</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35A7A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第26年</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29493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第27年</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393F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第28年</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CE89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第29年</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90D9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第30年</w:t>
            </w:r>
          </w:p>
        </w:tc>
      </w:tr>
      <w:tr w14:paraId="495229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675"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E940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一</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D965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经营活动产生的净现金流量</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C028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1,264.63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8BB9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1,282.99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19DF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1,291.46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5BD1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1,291.46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7AD44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1,310.37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9398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1,319.10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D27E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1,281.92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07CD6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1,264.42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B4E88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1,272.73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9609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1,272.73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C8FA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1,291.42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6E38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1,299.98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AA03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1,299.98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E95BA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1,319.23 </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A641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1,328.05 </w:t>
            </w:r>
          </w:p>
        </w:tc>
      </w:tr>
      <w:tr w14:paraId="64E1F5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285"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2A64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1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9D7A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现金流入</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08FE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1,451.13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2813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1,476.49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9169B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1,490.74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56F6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1,490.74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53CD7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1,516.86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A646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1,531.54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AE86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1,531.54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DE3A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1,558.44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200A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1,573.56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10D4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1,573.56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BAE0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1,601.27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0F7B4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1,616.84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B532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1,616.84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460C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1,645.38 </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0974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1,661.42 </w:t>
            </w:r>
          </w:p>
        </w:tc>
      </w:tr>
      <w:tr w14:paraId="7A456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285"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DA7B0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1.1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96AE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经营收入</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0566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1,451.13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6441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1,476.49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B8CC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1,490.74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5721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1,490.74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E11E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1,516.86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3BE5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1,531.54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B312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1,531.54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4ADE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1,558.44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73CC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1,573.56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5F1C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1,573.56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A1E9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1,601.27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30D1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1,616.84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B6221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1,616.84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87A44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1,645.38 </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2802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1,661.42 </w:t>
            </w:r>
          </w:p>
        </w:tc>
      </w:tr>
      <w:tr w14:paraId="733518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285"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731D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7B52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现金流出</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CF46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186.50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92260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193.50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60A0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199.28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11BC4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199.28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71AA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206.49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99AA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212.44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B667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249.62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4642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294.02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F1A2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300.83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92B38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300.83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9694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309.85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D11E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316.86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FE444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316.86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4D3C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326.15 </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35F8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333.37 </w:t>
            </w:r>
          </w:p>
        </w:tc>
      </w:tr>
      <w:tr w14:paraId="4A942E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285"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B1A20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2.1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00BA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经营成本</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DEF5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142.20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7F88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143.09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3210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146.04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EC6E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146.04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9B4D9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146.95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3FEF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149.99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A019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149.99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E655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150.93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E36D9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154.06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743A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154.06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07FE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155.03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BE15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158.25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EDF2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158.25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FD179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159.25 </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9DE2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162.57 </w:t>
            </w:r>
          </w:p>
        </w:tc>
      </w:tr>
      <w:tr w14:paraId="174FD3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435"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91E1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2.2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DE423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相关税费（相关税费+企业所得税）</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BCCB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44.29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88E1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50.41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354C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53.24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6D52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53.24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E0A7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59.54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EF5D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62.45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FFC06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99.63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081D8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143.09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BA89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146.77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33D85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146.77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2C737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154.82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2F336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158.61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0D8E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158.61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4ED1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166.90 </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C428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170.81 </w:t>
            </w:r>
          </w:p>
        </w:tc>
      </w:tr>
      <w:tr w14:paraId="3815AC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450"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5C05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二</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DB3E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投资活动净现金流量</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7F11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6A0B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53ADC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C87A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FF15C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C1B0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8A75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9C4357">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77C6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D071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63E99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A30D8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FFF8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9F5B1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B93D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r>
      <w:tr w14:paraId="3CFE4A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285"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60446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B8F1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现金流入</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655D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77AC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6280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52C1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65EA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05B3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B0A55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0118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117D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88C84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520A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279A2">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4F29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2DE5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9398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b/>
                <w:bCs/>
                <w:i w:val="0"/>
                <w:iCs w:val="0"/>
                <w:color w:val="000000"/>
                <w:sz w:val="16"/>
                <w:szCs w:val="16"/>
                <w:u w:val="none"/>
              </w:rPr>
            </w:pPr>
          </w:p>
        </w:tc>
      </w:tr>
      <w:tr w14:paraId="78A06B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285"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6828D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2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30B3D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现金流出</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001A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F813C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8F82C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00C1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6BAE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590E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FF2D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1F49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71AC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71C8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754B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A154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F3A8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F987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0358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r>
      <w:tr w14:paraId="211EF8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285"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EEC75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2.1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F9EF3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建设投资</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5519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A3343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6258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B670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5105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0D24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C0E6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694FE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E7DF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2351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A95C4">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EA71D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61D9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B8DC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DEAC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r>
      <w:tr w14:paraId="1BF1BA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290"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FA90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三</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9C7D5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筹措活动净现金流量</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8603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6B7F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258F5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AD81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4DDBD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399B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23DC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2069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9350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0CD1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C6A9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9325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FFE94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814B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27319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-15,480.00 </w:t>
            </w:r>
          </w:p>
        </w:tc>
      </w:tr>
      <w:tr w14:paraId="0FC1C1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285"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E5A13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1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E128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现金流入</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7706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C4904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FF69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04025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0EE0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26B1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E9AD4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ADD7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8F9D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FA50D3">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B73E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9DEB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2E43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2491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22EEE">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r>
      <w:tr w14:paraId="1F8C55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305"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E903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1.1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96395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项目资本金投入</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CB6A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1668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9454D">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A1859">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9C8B96">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1651A">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B250A5">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C080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83A448">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DEEB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06B3B">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B8E50">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1BF48F">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C9D1C">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D0261">
            <w:pPr>
              <w:keepNext w:val="0"/>
              <w:keepLines w:val="0"/>
              <w:pageBreakBefore w:val="0"/>
              <w:widowControl/>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等线" w:cs="Times New Roman"/>
                <w:i w:val="0"/>
                <w:iCs w:val="0"/>
                <w:color w:val="000000"/>
                <w:sz w:val="16"/>
                <w:szCs w:val="16"/>
                <w:u w:val="none"/>
              </w:rPr>
            </w:pPr>
          </w:p>
        </w:tc>
      </w:tr>
      <w:tr w14:paraId="3E3880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260"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257D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1.2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FA4FD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专项债券资金</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9EB53">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17752">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C632E">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F3658">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DB163">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57336">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4ED6C1">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28EF3">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C5B09B">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63376">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B1715">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A9AD1">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FAA29">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064125">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FA096">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r>
      <w:tr w14:paraId="5A4C92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285"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19B87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 xml:space="preserve">2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85200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现金流出</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D1B4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D24F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3FC6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FFC9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3FB2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A15E4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B9C8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D19B1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C7D3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8F2C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9B8E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8E01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2E4D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2E76F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480.00 </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EEBF9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15,480.00 </w:t>
            </w:r>
          </w:p>
        </w:tc>
      </w:tr>
      <w:tr w14:paraId="075D98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450"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073E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2.1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7236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支付债券利息</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A42D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4CA6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9873D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9A9E8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412A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0C28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56DC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005D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12E2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CE3E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CF0D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F639A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C2F1E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56E4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53AF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480.00 </w:t>
            </w:r>
          </w:p>
        </w:tc>
      </w:tr>
      <w:tr w14:paraId="4A6431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450"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E02C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2.2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8112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支付债券发行费用</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DF6BF1">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5BC1E">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E09DAA">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E048BD">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D9CBB">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5087C">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771EA7">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40A10">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2636F">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08EB2">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EA5D6">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02AEB">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E06C1">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AD64E0">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EE132">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r>
      <w:tr w14:paraId="4F4040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450"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710B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2.5 </w:t>
            </w:r>
          </w:p>
        </w:tc>
        <w:tc>
          <w:tcPr>
            <w:tcW w:w="910" w:type="pct"/>
            <w:tcBorders>
              <w:top w:val="single" w:color="000000" w:sz="4" w:space="0"/>
              <w:left w:val="single" w:color="000000" w:sz="4" w:space="0"/>
              <w:bottom w:val="nil"/>
              <w:right w:val="single" w:color="000000" w:sz="4" w:space="0"/>
            </w:tcBorders>
            <w:shd w:val="clear" w:color="auto" w:fill="auto"/>
            <w:vAlign w:val="center"/>
          </w:tcPr>
          <w:p w14:paraId="313B1F1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支付专项债券本金</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1859DB">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7B9CD1">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6BD17B">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2D67C8">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D34EC1">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5EF48">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7FAC6">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C81B2">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80BFE">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AE908">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2DB9EA">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BCE8E">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02F39">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A0084">
            <w:pPr>
              <w:keepNext w:val="0"/>
              <w:keepLines w:val="0"/>
              <w:pageBreakBefore w:val="0"/>
              <w:widowControl/>
              <w:kinsoku/>
              <w:wordWrap/>
              <w:overflowPunct/>
              <w:topLinePunct w:val="0"/>
              <w:autoSpaceDE/>
              <w:autoSpaceDN/>
              <w:bidi w:val="0"/>
              <w:adjustRightInd/>
              <w:snapToGrid/>
              <w:spacing w:line="240" w:lineRule="atLeast"/>
              <w:ind w:firstLine="0" w:firstLineChars="0"/>
              <w:rPr>
                <w:rFonts w:hint="default" w:ascii="Times New Roman" w:hAnsi="Times New Roman" w:eastAsia="等线" w:cs="Times New Roman"/>
                <w:i w:val="0"/>
                <w:iCs w:val="0"/>
                <w:color w:val="000000"/>
                <w:sz w:val="16"/>
                <w:szCs w:val="16"/>
                <w:u w:val="none"/>
              </w:rPr>
            </w:pP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6B113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15,000.00 </w:t>
            </w:r>
          </w:p>
        </w:tc>
      </w:tr>
      <w:tr w14:paraId="3BAD46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450"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6E32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四</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D3A1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left"/>
              <w:textAlignment w:val="center"/>
              <w:rPr>
                <w:rFonts w:hint="default" w:ascii="Times New Roman" w:hAnsi="Times New Roman" w:eastAsia="宋体" w:cs="Times New Roman"/>
                <w:b/>
                <w:bCs/>
                <w:i w:val="0"/>
                <w:iCs w:val="0"/>
                <w:color w:val="000000"/>
                <w:sz w:val="16"/>
                <w:szCs w:val="16"/>
                <w:u w:val="none"/>
              </w:rPr>
            </w:pPr>
            <w:r>
              <w:rPr>
                <w:rFonts w:hint="default" w:ascii="Times New Roman" w:hAnsi="Times New Roman" w:eastAsia="宋体" w:cs="Times New Roman"/>
                <w:b/>
                <w:bCs/>
                <w:i w:val="0"/>
                <w:iCs w:val="0"/>
                <w:color w:val="000000"/>
                <w:kern w:val="0"/>
                <w:sz w:val="16"/>
                <w:szCs w:val="16"/>
                <w:u w:val="none"/>
                <w:lang w:val="en-US" w:eastAsia="zh-CN" w:bidi="ar"/>
              </w:rPr>
              <w:t>现金流量总计</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432E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18,885.89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7323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20,491.86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1F78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22,114.79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5536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23,737.72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496BF">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25,398.46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3C09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27,076.66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FE693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28,680.49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EDC7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30,249.32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79CA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31,834.79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E579D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33,420.25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9767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35,043.09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0714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36,683.04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4523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38,323.00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8826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40,001.46 </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67DE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b/>
                <w:bCs/>
                <w:i w:val="0"/>
                <w:iCs w:val="0"/>
                <w:color w:val="000000"/>
                <w:sz w:val="16"/>
                <w:szCs w:val="16"/>
                <w:u w:val="none"/>
              </w:rPr>
            </w:pPr>
            <w:r>
              <w:rPr>
                <w:rFonts w:hint="default" w:ascii="Times New Roman" w:hAnsi="Times New Roman" w:eastAsia="等线" w:cs="Times New Roman"/>
                <w:b/>
                <w:bCs/>
                <w:i w:val="0"/>
                <w:iCs w:val="0"/>
                <w:color w:val="000000"/>
                <w:kern w:val="0"/>
                <w:sz w:val="16"/>
                <w:szCs w:val="16"/>
                <w:u w:val="none"/>
                <w:lang w:val="en-US" w:eastAsia="zh-CN" w:bidi="ar"/>
              </w:rPr>
              <w:t xml:space="preserve">11,697.55 </w:t>
            </w:r>
          </w:p>
        </w:tc>
      </w:tr>
      <w:tr w14:paraId="4BA7B3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51" w:type="dxa"/>
            <w:bottom w:w="0" w:type="dxa"/>
            <w:right w:w="51" w:type="dxa"/>
          </w:tblCellMar>
        </w:tblPrEx>
        <w:trPr>
          <w:trHeight w:val="450"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DA72D">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1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5822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项目期的期初资金</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4EAA3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8,658.31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679F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9,442.94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C2722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10,245.93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3D37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11,057.40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2F89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11,868.86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99EF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12,699.23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F37A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13,538.33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19F0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14,340.24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906A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15,124.66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32C60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15,917.39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3A2E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16,710.12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A1126">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17,521.54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D371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18,341.52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E5669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19,161.50 </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DAA6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20,000.73 </w:t>
            </w:r>
          </w:p>
        </w:tc>
      </w:tr>
      <w:tr w14:paraId="1BE41B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380"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0B8D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2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3DF5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项目期内现金变动（一+二+三）</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485E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784.63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8DFE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802.99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F749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811.46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4E4D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811.46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FF5F4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830.37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858F5">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839.10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78C0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801.92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7A28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784.42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99BB9">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792.73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506DB8">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792.73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34AE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811.42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78177">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819.98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C2F2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819.98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FDE3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839.23 </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50F5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-14,151.95 </w:t>
            </w:r>
          </w:p>
        </w:tc>
      </w:tr>
      <w:tr w14:paraId="4EC6E1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1" w:type="dxa"/>
            <w:bottom w:w="0" w:type="dxa"/>
            <w:right w:w="51" w:type="dxa"/>
          </w:tblCellMar>
        </w:tblPrEx>
        <w:trPr>
          <w:trHeight w:val="450" w:hRule="atLeast"/>
        </w:trPr>
        <w:tc>
          <w:tcPr>
            <w:tcW w:w="1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E785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 xml:space="preserve">3 </w:t>
            </w:r>
          </w:p>
        </w:tc>
        <w:tc>
          <w:tcPr>
            <w:tcW w:w="9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46FB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项目期的期末资金</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41EEBE">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9,442.94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914C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10,245.93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6EF1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11,057.40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1A38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11,868.86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6070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12,699.23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0148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13,538.33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A9910">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14,340.24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997A1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15,124.66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D0A9B">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15,917.39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B83C4">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16,710.12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7732C">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17,521.54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A08B3">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18,341.52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EC2AA">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19,161.50 </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86651">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20,000.73 </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FFE882">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等线" w:cs="Times New Roman"/>
                <w:i w:val="0"/>
                <w:iCs w:val="0"/>
                <w:color w:val="000000"/>
                <w:sz w:val="16"/>
                <w:szCs w:val="16"/>
                <w:u w:val="none"/>
              </w:rPr>
            </w:pPr>
            <w:r>
              <w:rPr>
                <w:rFonts w:hint="default" w:ascii="Times New Roman" w:hAnsi="Times New Roman" w:eastAsia="等线" w:cs="Times New Roman"/>
                <w:i w:val="0"/>
                <w:iCs w:val="0"/>
                <w:color w:val="000000"/>
                <w:kern w:val="0"/>
                <w:sz w:val="16"/>
                <w:szCs w:val="16"/>
                <w:u w:val="none"/>
                <w:lang w:val="en-US" w:eastAsia="zh-CN" w:bidi="ar"/>
              </w:rPr>
              <w:t xml:space="preserve">5,848.77 </w:t>
            </w:r>
          </w:p>
        </w:tc>
      </w:tr>
    </w:tbl>
    <w:p w14:paraId="07A214B5">
      <w:pPr>
        <w:widowControl/>
        <w:adjustRightInd w:val="0"/>
        <w:snapToGrid w:val="0"/>
        <w:spacing w:after="217" w:afterLines="50" w:line="560" w:lineRule="exact"/>
        <w:ind w:firstLine="643" w:firstLineChars="200"/>
        <w:jc w:val="center"/>
        <w:rPr>
          <w:rFonts w:hint="default" w:ascii="仿宋_GB2312" w:hAnsi="华文楷体" w:eastAsia="仿宋_GB2312" w:cs="Times New Roman"/>
          <w:b/>
          <w:bCs/>
          <w:sz w:val="32"/>
          <w:szCs w:val="32"/>
          <w:lang w:val="en-US" w:eastAsia="zh-CN"/>
        </w:rPr>
        <w:sectPr>
          <w:pgSz w:w="16838" w:h="11906" w:orient="landscape"/>
          <w:pgMar w:top="1440" w:right="1800" w:bottom="1440" w:left="1800" w:header="851" w:footer="992" w:gutter="0"/>
          <w:pgNumType w:fmt="decimal"/>
          <w:cols w:space="720" w:num="1"/>
          <w:docGrid w:type="lines" w:linePitch="435" w:charSpace="0"/>
        </w:sectPr>
      </w:pPr>
    </w:p>
    <w:p w14:paraId="003C8481">
      <w:pPr>
        <w:spacing w:line="560" w:lineRule="exact"/>
        <w:ind w:firstLine="640" w:firstLineChars="200"/>
        <w:rPr>
          <w:rFonts w:hint="eastAsia" w:ascii="黑体" w:hAnsi="黑体" w:eastAsia="黑体"/>
          <w:sz w:val="32"/>
          <w:szCs w:val="32"/>
        </w:rPr>
      </w:pPr>
      <w:r>
        <w:rPr>
          <w:rFonts w:hint="eastAsia" w:ascii="黑体" w:hAnsi="黑体" w:eastAsia="黑体"/>
          <w:sz w:val="32"/>
          <w:szCs w:val="32"/>
        </w:rPr>
        <w:t>五、项目绩效目标</w:t>
      </w:r>
    </w:p>
    <w:p w14:paraId="37F14D1D">
      <w:pPr>
        <w:widowControl/>
        <w:adjustRightInd w:val="0"/>
        <w:snapToGrid w:val="0"/>
        <w:spacing w:after="217" w:afterLines="50" w:line="560" w:lineRule="exact"/>
        <w:ind w:firstLine="640" w:firstLineChars="200"/>
        <w:rPr>
          <w:rFonts w:hint="eastAsia" w:ascii="仿宋_GB2312" w:hAnsi="华文楷体" w:eastAsia="仿宋_GB2312" w:cs="Times New Roman"/>
          <w:sz w:val="32"/>
          <w:szCs w:val="32"/>
          <w:lang w:val="en-US"/>
        </w:rPr>
      </w:pPr>
      <w:r>
        <w:rPr>
          <w:rFonts w:hint="eastAsia" w:ascii="仿宋_GB2312" w:hAnsi="华文楷体" w:eastAsia="仿宋_GB2312" w:cs="Times New Roman"/>
          <w:sz w:val="32"/>
          <w:szCs w:val="32"/>
          <w:lang w:val="en-US"/>
        </w:rPr>
        <w:t>目标1：新建全民健身体育中心1处，占地面积30.43亩；</w:t>
      </w:r>
    </w:p>
    <w:p w14:paraId="110F19F7">
      <w:pPr>
        <w:widowControl/>
        <w:adjustRightInd w:val="0"/>
        <w:snapToGrid w:val="0"/>
        <w:spacing w:after="217" w:afterLines="50" w:line="560" w:lineRule="exact"/>
        <w:ind w:firstLine="640" w:firstLineChars="200"/>
        <w:rPr>
          <w:rFonts w:hint="eastAsia" w:ascii="仿宋_GB2312" w:hAnsi="华文楷体" w:eastAsia="仿宋_GB2312" w:cs="Times New Roman"/>
          <w:sz w:val="32"/>
          <w:szCs w:val="32"/>
          <w:lang w:val="en-US"/>
        </w:rPr>
      </w:pPr>
      <w:r>
        <w:rPr>
          <w:rFonts w:hint="eastAsia" w:ascii="仿宋_GB2312" w:hAnsi="华文楷体" w:eastAsia="仿宋_GB2312" w:cs="Times New Roman"/>
          <w:sz w:val="32"/>
          <w:szCs w:val="32"/>
          <w:lang w:val="en-US"/>
        </w:rPr>
        <w:t>目标2：地上建筑面积12458.48平方米；</w:t>
      </w:r>
    </w:p>
    <w:p w14:paraId="39C6DD94">
      <w:pPr>
        <w:widowControl/>
        <w:adjustRightInd w:val="0"/>
        <w:snapToGrid w:val="0"/>
        <w:spacing w:after="217" w:afterLines="50" w:line="560" w:lineRule="exact"/>
        <w:ind w:firstLine="640" w:firstLineChars="200"/>
        <w:rPr>
          <w:rFonts w:hint="eastAsia" w:ascii="仿宋_GB2312" w:hAnsi="华文楷体" w:eastAsia="仿宋_GB2312" w:cs="Times New Roman"/>
          <w:sz w:val="32"/>
          <w:szCs w:val="32"/>
          <w:lang w:val="en-US"/>
        </w:rPr>
      </w:pPr>
      <w:r>
        <w:rPr>
          <w:rFonts w:hint="eastAsia" w:ascii="仿宋_GB2312" w:hAnsi="华文楷体" w:eastAsia="仿宋_GB2312" w:cs="Times New Roman"/>
          <w:sz w:val="32"/>
          <w:szCs w:val="32"/>
          <w:lang w:val="en-US"/>
        </w:rPr>
        <w:t>目标3：地下建筑面积10492.63平方米；</w:t>
      </w:r>
    </w:p>
    <w:p w14:paraId="17D345C0">
      <w:pPr>
        <w:spacing w:before="240" w:after="120" w:line="560" w:lineRule="exact"/>
        <w:ind w:firstLine="640" w:firstLineChars="200"/>
        <w:rPr>
          <w:rFonts w:hint="eastAsia" w:ascii="仿宋_GB2312" w:hAnsi="仿宋" w:eastAsia="仿宋_GB2312"/>
          <w:sz w:val="32"/>
          <w:szCs w:val="32"/>
        </w:rPr>
      </w:pPr>
      <w:r>
        <w:rPr>
          <w:rFonts w:hint="eastAsia" w:ascii="黑体" w:hAnsi="黑体" w:eastAsia="黑体"/>
          <w:sz w:val="32"/>
          <w:szCs w:val="32"/>
        </w:rPr>
        <w:t>六、潜在影响项目的风险评估</w:t>
      </w:r>
    </w:p>
    <w:p w14:paraId="367F765E">
      <w:pPr>
        <w:widowControl/>
        <w:adjustRightInd w:val="0"/>
        <w:snapToGrid w:val="0"/>
        <w:spacing w:after="217" w:afterLines="50" w:line="560" w:lineRule="exact"/>
        <w:ind w:firstLine="643" w:firstLineChars="200"/>
        <w:rPr>
          <w:rFonts w:hint="default" w:ascii="仿宋_GB2312" w:hAnsi="华文楷体" w:eastAsia="仿宋_GB2312" w:cs="Times New Roman"/>
          <w:b/>
          <w:bCs/>
          <w:sz w:val="32"/>
          <w:szCs w:val="32"/>
          <w:lang w:val="en-GB"/>
        </w:rPr>
      </w:pPr>
      <w:bookmarkStart w:id="76" w:name="_Toc8956"/>
      <w:bookmarkStart w:id="77" w:name="_Toc14011"/>
      <w:bookmarkStart w:id="78" w:name="_Toc15283"/>
      <w:bookmarkStart w:id="79" w:name="_Toc520"/>
      <w:bookmarkStart w:id="80" w:name="_Toc4985"/>
      <w:bookmarkStart w:id="81" w:name="_Toc12232"/>
      <w:bookmarkStart w:id="82" w:name="_Toc19897"/>
      <w:bookmarkStart w:id="83" w:name="_Toc26050"/>
      <w:bookmarkStart w:id="84" w:name="_Toc3506"/>
      <w:bookmarkStart w:id="85" w:name="_Toc8296"/>
      <w:bookmarkStart w:id="86" w:name="_Toc25520"/>
      <w:bookmarkStart w:id="87" w:name="_Toc17383"/>
      <w:bookmarkStart w:id="88" w:name="_Toc21854"/>
      <w:bookmarkStart w:id="89" w:name="_Toc616"/>
      <w:bookmarkStart w:id="90" w:name="_Toc18349"/>
      <w:bookmarkStart w:id="91" w:name="_Toc17130"/>
      <w:r>
        <w:rPr>
          <w:rFonts w:hint="eastAsia" w:ascii="仿宋_GB2312" w:hAnsi="华文楷体" w:eastAsia="仿宋_GB2312" w:cs="Times New Roman"/>
          <w:b/>
          <w:bCs/>
          <w:sz w:val="32"/>
          <w:szCs w:val="32"/>
          <w:lang w:val="en-GB" w:eastAsia="zh-CN"/>
        </w:rPr>
        <w:t>（</w:t>
      </w:r>
      <w:r>
        <w:rPr>
          <w:rFonts w:hint="eastAsia" w:ascii="仿宋_GB2312" w:hAnsi="华文楷体" w:eastAsia="仿宋_GB2312" w:cs="Times New Roman"/>
          <w:b/>
          <w:bCs/>
          <w:sz w:val="32"/>
          <w:szCs w:val="32"/>
          <w:lang w:val="en-US" w:eastAsia="zh-CN"/>
        </w:rPr>
        <w:t>一）</w:t>
      </w:r>
      <w:r>
        <w:rPr>
          <w:rFonts w:hint="default" w:ascii="仿宋_GB2312" w:hAnsi="华文楷体" w:eastAsia="仿宋_GB2312" w:cs="Times New Roman"/>
          <w:b/>
          <w:bCs/>
          <w:sz w:val="32"/>
          <w:szCs w:val="32"/>
          <w:lang w:val="en-GB"/>
        </w:rPr>
        <w:t>影响项目施工进度或正常运营的风险及控制措施</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097FE444">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US" w:eastAsia="zh-CN"/>
        </w:rPr>
      </w:pPr>
      <w:bookmarkStart w:id="92" w:name="_Toc11882"/>
      <w:bookmarkStart w:id="93" w:name="_Toc31753"/>
      <w:bookmarkStart w:id="94" w:name="_Toc9746"/>
      <w:bookmarkStart w:id="95" w:name="_Toc3866"/>
      <w:bookmarkStart w:id="96" w:name="_Toc2862"/>
      <w:bookmarkStart w:id="97" w:name="_Toc3445"/>
      <w:bookmarkStart w:id="98" w:name="_Toc2419"/>
      <w:bookmarkStart w:id="99" w:name="_Toc4820"/>
      <w:bookmarkStart w:id="100" w:name="_Toc21359"/>
      <w:bookmarkStart w:id="101" w:name="_Toc24673"/>
      <w:bookmarkStart w:id="102" w:name="_Toc9058"/>
      <w:bookmarkStart w:id="103" w:name="_Toc3992"/>
      <w:bookmarkStart w:id="104" w:name="_Toc7832"/>
      <w:bookmarkStart w:id="105" w:name="_Toc10395"/>
      <w:r>
        <w:rPr>
          <w:rFonts w:hint="eastAsia" w:ascii="仿宋_GB2312" w:hAnsi="华文楷体" w:eastAsia="仿宋_GB2312" w:cs="Times New Roman"/>
          <w:sz w:val="32"/>
          <w:szCs w:val="32"/>
          <w:lang w:val="en-US" w:eastAsia="zh-CN"/>
        </w:rPr>
        <w:t>1.</w:t>
      </w:r>
      <w:r>
        <w:rPr>
          <w:rFonts w:hint="default" w:ascii="仿宋_GB2312" w:hAnsi="华文楷体" w:eastAsia="仿宋_GB2312" w:cs="Times New Roman"/>
          <w:sz w:val="32"/>
          <w:szCs w:val="32"/>
          <w:lang w:val="en-US" w:eastAsia="zh-CN"/>
        </w:rPr>
        <w:t>自然环境和施工条件</w:t>
      </w:r>
      <w:bookmarkEnd w:id="92"/>
      <w:bookmarkEnd w:id="93"/>
      <w:bookmarkEnd w:id="94"/>
      <w:bookmarkEnd w:id="95"/>
      <w:bookmarkEnd w:id="96"/>
      <w:bookmarkEnd w:id="97"/>
      <w:bookmarkEnd w:id="98"/>
      <w:bookmarkEnd w:id="99"/>
      <w:bookmarkEnd w:id="100"/>
      <w:bookmarkEnd w:id="101"/>
      <w:bookmarkEnd w:id="102"/>
      <w:bookmarkEnd w:id="103"/>
      <w:bookmarkEnd w:id="104"/>
      <w:bookmarkEnd w:id="105"/>
      <w:r>
        <w:rPr>
          <w:rFonts w:hint="default" w:ascii="仿宋_GB2312" w:hAnsi="华文楷体" w:eastAsia="仿宋_GB2312" w:cs="Times New Roman"/>
          <w:sz w:val="32"/>
          <w:szCs w:val="32"/>
          <w:lang w:val="en-US" w:eastAsia="zh-CN"/>
        </w:rPr>
        <w:tab/>
      </w:r>
      <w:r>
        <w:rPr>
          <w:rFonts w:hint="default" w:ascii="仿宋_GB2312" w:hAnsi="华文楷体" w:eastAsia="仿宋_GB2312" w:cs="Times New Roman"/>
          <w:sz w:val="32"/>
          <w:szCs w:val="32"/>
          <w:lang w:val="en-US" w:eastAsia="zh-CN"/>
        </w:rPr>
        <w:tab/>
      </w:r>
    </w:p>
    <w:p w14:paraId="0CFE4ABF">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风险识别：自然环境和施工条件风险主要是指恶劣的自然条件，恶劣的气候和环境，恶劣的现场条件以及不利的地理环境等。</w:t>
      </w:r>
    </w:p>
    <w:p w14:paraId="370B622E">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控制措施：由自然环境和施工条件造成的风险最好的控制措施是通过购买保险等方式进行风险转移，风险转移是向保险公司投保，将项目部分风险损失转移给保险公司承担，本项目在建设期按照国家规定强制购买工程一</w:t>
      </w:r>
      <w:r>
        <w:rPr>
          <w:rFonts w:hint="eastAsia" w:ascii="仿宋_GB2312" w:hAnsi="华文楷体" w:eastAsia="仿宋_GB2312" w:cs="Times New Roman"/>
          <w:sz w:val="32"/>
          <w:szCs w:val="32"/>
          <w:lang w:val="en-GB" w:eastAsia="zh-CN"/>
        </w:rPr>
        <w:t>切保</w:t>
      </w:r>
      <w:r>
        <w:rPr>
          <w:rFonts w:hint="default" w:ascii="仿宋_GB2312" w:hAnsi="华文楷体" w:eastAsia="仿宋_GB2312" w:cs="Times New Roman"/>
          <w:sz w:val="32"/>
          <w:szCs w:val="32"/>
          <w:lang w:val="en-GB"/>
        </w:rPr>
        <w:t>险，本项目保险费已按规定计入项目总投资</w:t>
      </w:r>
      <w:r>
        <w:rPr>
          <w:rFonts w:hint="default" w:ascii="仿宋_GB2312" w:hAnsi="华文楷体" w:eastAsia="仿宋_GB2312" w:cs="Times New Roman"/>
          <w:sz w:val="32"/>
          <w:szCs w:val="32"/>
          <w:lang w:val="en-GB" w:eastAsia="zh-CN"/>
        </w:rPr>
        <w:t>其他</w:t>
      </w:r>
      <w:r>
        <w:rPr>
          <w:rFonts w:hint="default" w:ascii="仿宋_GB2312" w:hAnsi="华文楷体" w:eastAsia="仿宋_GB2312" w:cs="Times New Roman"/>
          <w:sz w:val="32"/>
          <w:szCs w:val="32"/>
          <w:lang w:val="en-GB"/>
        </w:rPr>
        <w:t>建设费用类。</w:t>
      </w:r>
    </w:p>
    <w:p w14:paraId="38543558">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US" w:eastAsia="zh-CN"/>
        </w:rPr>
      </w:pPr>
      <w:bookmarkStart w:id="106" w:name="_Toc1905"/>
      <w:bookmarkStart w:id="107" w:name="_Toc11746"/>
      <w:bookmarkStart w:id="108" w:name="_Toc18245"/>
      <w:bookmarkStart w:id="109" w:name="_Toc16343"/>
      <w:bookmarkStart w:id="110" w:name="_Toc18014"/>
      <w:bookmarkStart w:id="111" w:name="_Toc12156"/>
      <w:bookmarkStart w:id="112" w:name="_Toc5970"/>
      <w:bookmarkStart w:id="113" w:name="_Toc18165"/>
      <w:bookmarkStart w:id="114" w:name="_Toc9984"/>
      <w:bookmarkStart w:id="115" w:name="_Toc21338"/>
      <w:bookmarkStart w:id="116" w:name="_Toc5865"/>
      <w:bookmarkStart w:id="117" w:name="_Toc26815"/>
      <w:bookmarkStart w:id="118" w:name="_Toc32572"/>
      <w:bookmarkStart w:id="119" w:name="_Toc11824"/>
      <w:r>
        <w:rPr>
          <w:rFonts w:hint="eastAsia" w:ascii="仿宋_GB2312" w:hAnsi="华文楷体" w:eastAsia="仿宋_GB2312" w:cs="Times New Roman"/>
          <w:sz w:val="32"/>
          <w:szCs w:val="32"/>
          <w:lang w:val="en-US" w:eastAsia="zh-CN"/>
        </w:rPr>
        <w:t>2.</w:t>
      </w:r>
      <w:r>
        <w:rPr>
          <w:rFonts w:hint="default" w:ascii="仿宋_GB2312" w:hAnsi="华文楷体" w:eastAsia="仿宋_GB2312" w:cs="Times New Roman"/>
          <w:sz w:val="32"/>
          <w:szCs w:val="32"/>
          <w:lang w:val="en-US" w:eastAsia="zh-CN"/>
        </w:rPr>
        <w:t>来源于施工方的风险因素</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458C68C0">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风险识别：施工方的风险因素主要由施工技术不当、管理方案不完善导致。管理者及工程人员的水平和工作态度的影响；</w:t>
      </w:r>
    </w:p>
    <w:p w14:paraId="37C78166">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风险控制措施：在招标和工程实施中应确保相关人员的素质和水平，特别是设计负责人和专业负责人、总监理工程师、施工项目经理、业主代表及各类管理人员。</w:t>
      </w:r>
      <w:bookmarkStart w:id="120" w:name="_Toc15683"/>
    </w:p>
    <w:p w14:paraId="46B3440A">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US" w:eastAsia="zh-CN"/>
        </w:rPr>
      </w:pPr>
      <w:bookmarkStart w:id="121" w:name="_Toc8186"/>
      <w:bookmarkStart w:id="122" w:name="_Toc13348"/>
      <w:bookmarkStart w:id="123" w:name="_Toc27973"/>
      <w:bookmarkStart w:id="124" w:name="_Toc31663"/>
      <w:bookmarkStart w:id="125" w:name="_Toc1125"/>
      <w:bookmarkStart w:id="126" w:name="_Toc5038"/>
      <w:bookmarkStart w:id="127" w:name="_Toc25857"/>
      <w:bookmarkStart w:id="128" w:name="_Toc10222"/>
      <w:bookmarkStart w:id="129" w:name="_Toc23053"/>
      <w:bookmarkStart w:id="130" w:name="_Toc24080"/>
      <w:bookmarkStart w:id="131" w:name="_Toc15927"/>
      <w:bookmarkStart w:id="132" w:name="_Toc30820"/>
      <w:bookmarkStart w:id="133" w:name="_Toc23759"/>
      <w:r>
        <w:rPr>
          <w:rFonts w:hint="eastAsia" w:ascii="仿宋_GB2312" w:hAnsi="华文楷体" w:eastAsia="仿宋_GB2312" w:cs="Times New Roman"/>
          <w:sz w:val="32"/>
          <w:szCs w:val="32"/>
          <w:lang w:val="en-US" w:eastAsia="zh-CN"/>
        </w:rPr>
        <w:t>3.</w:t>
      </w:r>
      <w:r>
        <w:rPr>
          <w:rFonts w:hint="default" w:ascii="仿宋_GB2312" w:hAnsi="华文楷体" w:eastAsia="仿宋_GB2312" w:cs="Times New Roman"/>
          <w:sz w:val="32"/>
          <w:szCs w:val="32"/>
          <w:lang w:val="en-US" w:eastAsia="zh-CN"/>
        </w:rPr>
        <w:t>来源于设计单位的风险因素</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5B89B61">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识别：设计风险主要体现在设计质量、设计变更两个方面。设计质量风险，因设计单位水平不足，导致项目设计不合理，技术方案表达不充分，质量达不到国家相关规范标准要求，或评审、验证不够充分，导致设计缺陷；设计变更会影响施工安排，会导致施工进度延误，造成承包人工期</w:t>
      </w:r>
      <w:r>
        <w:rPr>
          <w:rFonts w:hint="default" w:ascii="仿宋_GB2312" w:hAnsi="华文楷体" w:eastAsia="仿宋_GB2312" w:cs="Times New Roman"/>
          <w:sz w:val="32"/>
          <w:szCs w:val="32"/>
          <w:lang w:val="en-GB" w:eastAsia="zh-CN"/>
        </w:rPr>
        <w:t>拖延</w:t>
      </w:r>
      <w:r>
        <w:rPr>
          <w:rFonts w:hint="default" w:ascii="仿宋_GB2312" w:hAnsi="华文楷体" w:eastAsia="仿宋_GB2312" w:cs="Times New Roman"/>
          <w:sz w:val="32"/>
          <w:szCs w:val="32"/>
          <w:lang w:val="en-GB"/>
        </w:rPr>
        <w:t>和经济损失。</w:t>
      </w:r>
    </w:p>
    <w:p w14:paraId="7F2B0EC1">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风险控制措施：应拟订规划设计大纲，明确设计质量标准。在设计阶段，设计单位</w:t>
      </w:r>
      <w:r>
        <w:rPr>
          <w:rFonts w:hint="default" w:ascii="仿宋_GB2312" w:hAnsi="华文楷体" w:eastAsia="仿宋_GB2312" w:cs="Times New Roman"/>
          <w:sz w:val="32"/>
          <w:szCs w:val="32"/>
          <w:lang w:val="en-GB" w:eastAsia="zh-CN"/>
        </w:rPr>
        <w:t>应</w:t>
      </w:r>
      <w:r>
        <w:rPr>
          <w:rFonts w:hint="default" w:ascii="仿宋_GB2312" w:hAnsi="华文楷体" w:eastAsia="仿宋_GB2312" w:cs="Times New Roman"/>
          <w:sz w:val="32"/>
          <w:szCs w:val="32"/>
          <w:lang w:val="en-GB"/>
        </w:rPr>
        <w:t>充分了解项目情况，勘察仔细，因地制宜，评估到位，设计合理、规范满足国家规范、标准，评审环节充分验证、符合仔细，保证设计质量。阶段设计完成后，应进行全面审核，内容包括计划投资、方案比选、文件规范、结构安全、工艺先进性、技术合理性、施工可行性。提交施工图后及时报送进行施工图审查、设计交底和图纸会审。</w:t>
      </w:r>
    </w:p>
    <w:p w14:paraId="0445B4C4">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US" w:eastAsia="zh-CN"/>
        </w:rPr>
      </w:pPr>
      <w:bookmarkStart w:id="134" w:name="_Toc28412"/>
      <w:bookmarkStart w:id="135" w:name="_Toc9875"/>
      <w:bookmarkStart w:id="136" w:name="_Toc14949"/>
      <w:bookmarkStart w:id="137" w:name="_Toc7326"/>
      <w:bookmarkStart w:id="138" w:name="_Toc16327"/>
      <w:bookmarkStart w:id="139" w:name="_Toc21884"/>
      <w:bookmarkStart w:id="140" w:name="_Toc20970"/>
      <w:bookmarkStart w:id="141" w:name="_Toc15206"/>
      <w:bookmarkStart w:id="142" w:name="_Toc9429"/>
      <w:bookmarkStart w:id="143" w:name="_Toc18696"/>
      <w:bookmarkStart w:id="144" w:name="_Toc760"/>
      <w:bookmarkStart w:id="145" w:name="_Toc14027"/>
      <w:bookmarkStart w:id="146" w:name="_Toc19703"/>
      <w:bookmarkStart w:id="147" w:name="_Toc196"/>
      <w:r>
        <w:rPr>
          <w:rFonts w:hint="eastAsia" w:ascii="仿宋_GB2312" w:hAnsi="华文楷体" w:eastAsia="仿宋_GB2312" w:cs="Times New Roman"/>
          <w:sz w:val="32"/>
          <w:szCs w:val="32"/>
          <w:lang w:val="en-US" w:eastAsia="zh-CN"/>
        </w:rPr>
        <w:t>3.</w:t>
      </w:r>
      <w:r>
        <w:rPr>
          <w:rFonts w:hint="default" w:ascii="仿宋_GB2312" w:hAnsi="华文楷体" w:eastAsia="仿宋_GB2312" w:cs="Times New Roman"/>
          <w:sz w:val="32"/>
          <w:szCs w:val="32"/>
          <w:lang w:val="en-US" w:eastAsia="zh-CN"/>
        </w:rPr>
        <w:t>来源于供应商的风险因素</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4DB330AA">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风险识别：来源于供应商的风险因素包括选择供应商不当，供应商</w:t>
      </w:r>
      <w:r>
        <w:rPr>
          <w:rFonts w:hint="default" w:ascii="仿宋_GB2312" w:hAnsi="华文楷体" w:eastAsia="仿宋_GB2312" w:cs="Times New Roman"/>
          <w:sz w:val="32"/>
          <w:szCs w:val="32"/>
          <w:lang w:val="en-GB" w:eastAsia="zh-CN"/>
        </w:rPr>
        <w:t>承担</w:t>
      </w:r>
      <w:r>
        <w:rPr>
          <w:rFonts w:hint="default" w:ascii="仿宋_GB2312" w:hAnsi="华文楷体" w:eastAsia="仿宋_GB2312" w:cs="Times New Roman"/>
          <w:sz w:val="32"/>
          <w:szCs w:val="32"/>
          <w:lang w:val="en-GB"/>
        </w:rPr>
        <w:t>风险的能力较低，劳动力市场、材料市场、设备市场等，这些市场价格的变化，特别是价格的上涨。造成供应商违约，不能按质按量按期完成分包工程，从而影响整个工程的进度或发生经济损失；</w:t>
      </w:r>
    </w:p>
    <w:p w14:paraId="73800806">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风险控制措施：项目在选择供应商时，应选择信誉好、实力强、</w:t>
      </w:r>
      <w:r>
        <w:rPr>
          <w:rFonts w:hint="default" w:ascii="仿宋_GB2312" w:hAnsi="华文楷体" w:eastAsia="仿宋_GB2312" w:cs="Times New Roman"/>
          <w:sz w:val="32"/>
          <w:szCs w:val="32"/>
          <w:lang w:val="en-GB" w:eastAsia="zh-CN"/>
        </w:rPr>
        <w:t>承担</w:t>
      </w:r>
      <w:r>
        <w:rPr>
          <w:rFonts w:hint="default" w:ascii="仿宋_GB2312" w:hAnsi="华文楷体" w:eastAsia="仿宋_GB2312" w:cs="Times New Roman"/>
          <w:sz w:val="32"/>
          <w:szCs w:val="32"/>
          <w:lang w:val="en-GB"/>
        </w:rPr>
        <w:t>风险</w:t>
      </w:r>
      <w:r>
        <w:rPr>
          <w:rFonts w:hint="default" w:ascii="仿宋_GB2312" w:hAnsi="华文楷体" w:eastAsia="仿宋_GB2312" w:cs="Times New Roman"/>
          <w:sz w:val="32"/>
          <w:szCs w:val="32"/>
          <w:lang w:val="en-GB" w:eastAsia="zh-CN"/>
        </w:rPr>
        <w:t>能力较强</w:t>
      </w:r>
      <w:r>
        <w:rPr>
          <w:rFonts w:hint="default" w:ascii="仿宋_GB2312" w:hAnsi="华文楷体" w:eastAsia="仿宋_GB2312" w:cs="Times New Roman"/>
          <w:sz w:val="32"/>
          <w:szCs w:val="32"/>
          <w:lang w:val="en-GB"/>
        </w:rPr>
        <w:t>的供应商，或设置合理的调价机制，对</w:t>
      </w:r>
      <w:r>
        <w:rPr>
          <w:rFonts w:hint="default" w:ascii="仿宋_GB2312" w:hAnsi="华文楷体" w:eastAsia="仿宋_GB2312" w:cs="Times New Roman"/>
          <w:sz w:val="32"/>
          <w:szCs w:val="32"/>
          <w:lang w:val="en-GB" w:eastAsia="zh-CN"/>
        </w:rPr>
        <w:t>价格上涨</w:t>
      </w:r>
      <w:r>
        <w:rPr>
          <w:rFonts w:hint="default" w:ascii="仿宋_GB2312" w:hAnsi="华文楷体" w:eastAsia="仿宋_GB2312" w:cs="Times New Roman"/>
          <w:sz w:val="32"/>
          <w:szCs w:val="32"/>
          <w:lang w:val="en-GB"/>
        </w:rPr>
        <w:t>情况进行一定的调价约定，降低供应商违约风险。同时可以通过收取履约保证金的方式，降低违约风险。</w:t>
      </w:r>
    </w:p>
    <w:p w14:paraId="13FB09F4">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US" w:eastAsia="zh-CN"/>
        </w:rPr>
      </w:pPr>
      <w:bookmarkStart w:id="148" w:name="_Toc30730"/>
      <w:bookmarkStart w:id="149" w:name="_Toc19225"/>
      <w:bookmarkStart w:id="150" w:name="_Toc9163"/>
      <w:bookmarkStart w:id="151" w:name="_Toc2459"/>
      <w:bookmarkStart w:id="152" w:name="_Toc7315"/>
      <w:bookmarkStart w:id="153" w:name="_Toc17542"/>
      <w:bookmarkStart w:id="154" w:name="_Toc10505"/>
      <w:bookmarkStart w:id="155" w:name="_Toc27138"/>
      <w:bookmarkStart w:id="156" w:name="_Toc24486"/>
      <w:bookmarkStart w:id="157" w:name="_Toc21016"/>
      <w:bookmarkStart w:id="158" w:name="_Toc1643"/>
      <w:bookmarkStart w:id="159" w:name="_Toc25375"/>
      <w:bookmarkStart w:id="160" w:name="_Toc5349"/>
      <w:bookmarkStart w:id="161" w:name="_Toc11686"/>
      <w:r>
        <w:rPr>
          <w:rFonts w:hint="eastAsia" w:ascii="仿宋_GB2312" w:hAnsi="华文楷体" w:eastAsia="仿宋_GB2312" w:cs="Times New Roman"/>
          <w:sz w:val="32"/>
          <w:szCs w:val="32"/>
          <w:lang w:val="en-US" w:eastAsia="zh-CN"/>
        </w:rPr>
        <w:t>4.</w:t>
      </w:r>
      <w:r>
        <w:rPr>
          <w:rFonts w:hint="default" w:ascii="仿宋_GB2312" w:hAnsi="华文楷体" w:eastAsia="仿宋_GB2312" w:cs="Times New Roman"/>
          <w:sz w:val="32"/>
          <w:szCs w:val="32"/>
          <w:lang w:val="en-US" w:eastAsia="zh-CN"/>
        </w:rPr>
        <w:t>资金落实情况</w:t>
      </w:r>
      <w:bookmarkEnd w:id="148"/>
      <w:bookmarkEnd w:id="149"/>
      <w:bookmarkEnd w:id="150"/>
      <w:bookmarkEnd w:id="151"/>
      <w:bookmarkEnd w:id="152"/>
      <w:bookmarkEnd w:id="153"/>
      <w:bookmarkEnd w:id="154"/>
      <w:bookmarkEnd w:id="155"/>
      <w:bookmarkEnd w:id="156"/>
      <w:bookmarkEnd w:id="157"/>
      <w:bookmarkEnd w:id="158"/>
      <w:r>
        <w:rPr>
          <w:rFonts w:hint="default" w:ascii="仿宋_GB2312" w:hAnsi="华文楷体" w:eastAsia="仿宋_GB2312" w:cs="Times New Roman"/>
          <w:sz w:val="32"/>
          <w:szCs w:val="32"/>
          <w:lang w:val="en-US" w:eastAsia="zh-CN"/>
        </w:rPr>
        <w:t>风险因素</w:t>
      </w:r>
      <w:bookmarkEnd w:id="159"/>
      <w:bookmarkEnd w:id="160"/>
      <w:bookmarkEnd w:id="161"/>
      <w:r>
        <w:rPr>
          <w:rFonts w:hint="default" w:ascii="仿宋_GB2312" w:hAnsi="华文楷体" w:eastAsia="仿宋_GB2312" w:cs="Times New Roman"/>
          <w:sz w:val="32"/>
          <w:szCs w:val="32"/>
          <w:lang w:val="en-US" w:eastAsia="zh-CN"/>
        </w:rPr>
        <w:tab/>
      </w:r>
    </w:p>
    <w:p w14:paraId="35EA5EFE">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风险识别：资金落实风险主要是因资金不能及时到位，导致项目建设停工或拖延；或是利率变化导致融资成本升高而形成的。</w:t>
      </w:r>
    </w:p>
    <w:p w14:paraId="6751198C">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风险控制措施：加强对项目的资金管理，落实建设资金，保证工程按期完工。</w:t>
      </w:r>
    </w:p>
    <w:p w14:paraId="55855B71">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US" w:eastAsia="zh-CN"/>
        </w:rPr>
      </w:pPr>
      <w:bookmarkStart w:id="162" w:name="_Toc2583"/>
      <w:bookmarkStart w:id="163" w:name="_Toc24723"/>
      <w:bookmarkStart w:id="164" w:name="_Toc28513"/>
      <w:bookmarkStart w:id="165" w:name="_Toc18803"/>
      <w:bookmarkStart w:id="166" w:name="_Toc26212"/>
      <w:bookmarkStart w:id="167" w:name="_Toc31091"/>
      <w:bookmarkStart w:id="168" w:name="_Toc24199"/>
      <w:bookmarkStart w:id="169" w:name="_Toc22107"/>
      <w:bookmarkStart w:id="170" w:name="_Toc26549"/>
      <w:bookmarkStart w:id="171" w:name="_Toc29051"/>
      <w:bookmarkStart w:id="172" w:name="_Toc9198"/>
      <w:bookmarkStart w:id="173" w:name="_Toc10797"/>
      <w:bookmarkStart w:id="174" w:name="_Toc8960"/>
      <w:bookmarkStart w:id="175" w:name="_Toc89"/>
      <w:r>
        <w:rPr>
          <w:rFonts w:hint="eastAsia" w:ascii="仿宋_GB2312" w:hAnsi="华文楷体" w:eastAsia="仿宋_GB2312" w:cs="Times New Roman"/>
          <w:sz w:val="32"/>
          <w:szCs w:val="32"/>
          <w:lang w:val="en-US" w:eastAsia="zh-CN"/>
        </w:rPr>
        <w:t>5.</w:t>
      </w:r>
      <w:r>
        <w:rPr>
          <w:rFonts w:hint="default" w:ascii="仿宋_GB2312" w:hAnsi="华文楷体" w:eastAsia="仿宋_GB2312" w:cs="Times New Roman"/>
          <w:sz w:val="32"/>
          <w:szCs w:val="32"/>
          <w:lang w:val="en-US" w:eastAsia="zh-CN"/>
        </w:rPr>
        <w:t>工程事故</w:t>
      </w:r>
      <w:bookmarkEnd w:id="162"/>
      <w:bookmarkEnd w:id="163"/>
      <w:bookmarkEnd w:id="164"/>
      <w:bookmarkEnd w:id="165"/>
      <w:bookmarkEnd w:id="166"/>
      <w:bookmarkEnd w:id="167"/>
      <w:bookmarkEnd w:id="168"/>
      <w:bookmarkEnd w:id="169"/>
      <w:bookmarkEnd w:id="170"/>
      <w:bookmarkEnd w:id="171"/>
      <w:bookmarkEnd w:id="172"/>
      <w:r>
        <w:rPr>
          <w:rFonts w:hint="default" w:ascii="仿宋_GB2312" w:hAnsi="华文楷体" w:eastAsia="仿宋_GB2312" w:cs="Times New Roman"/>
          <w:sz w:val="32"/>
          <w:szCs w:val="32"/>
          <w:lang w:val="en-US" w:eastAsia="zh-CN"/>
        </w:rPr>
        <w:t>风险因素</w:t>
      </w:r>
      <w:bookmarkEnd w:id="173"/>
      <w:bookmarkEnd w:id="174"/>
      <w:bookmarkEnd w:id="175"/>
    </w:p>
    <w:p w14:paraId="45013850">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风险识别：工程事故风险主要存在于施工过程中，施工中人的不安全行为、物的不安全状态、作业环境的不安全因素和管理缺陷是项目发生工程事故的主要原因，必须采取有针对性的控制措施。</w:t>
      </w:r>
    </w:p>
    <w:p w14:paraId="3D35B466">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控制措施：工程事故问题是建设工程项目的核心问题，存在较大风险。在项目前期招标过程中，选定设计、监理、施工、设备材料供应商时，应把安全和防止质量事故作为重要因素考虑。在审查相关单位设计文件、监理实施细则、施工组织设计、设备招标文件以及</w:t>
      </w:r>
      <w:r>
        <w:rPr>
          <w:rFonts w:hint="default" w:ascii="仿宋_GB2312" w:hAnsi="华文楷体" w:eastAsia="仿宋_GB2312" w:cs="Times New Roman"/>
          <w:sz w:val="32"/>
          <w:szCs w:val="32"/>
          <w:lang w:val="en-GB" w:eastAsia="zh-CN"/>
        </w:rPr>
        <w:t>签订合同时</w:t>
      </w:r>
      <w:r>
        <w:rPr>
          <w:rFonts w:hint="default" w:ascii="仿宋_GB2312" w:hAnsi="华文楷体" w:eastAsia="仿宋_GB2312" w:cs="Times New Roman"/>
          <w:sz w:val="32"/>
          <w:szCs w:val="32"/>
          <w:lang w:val="en-GB"/>
        </w:rPr>
        <w:t>都应给予足够重视。项目建设期间，必须在安全危险源识别、评估基础上，编制施工组织设计和施工方案，制定安全技术措施和施工现场临时用电方案；对危险性较大分部分项工程，编制专项安全施工方案。应派驻经验丰富的甲方代表加强该方面工作，遇到质量、安全隐患及时提出整改要求。</w:t>
      </w:r>
    </w:p>
    <w:p w14:paraId="4BE6FAD8">
      <w:pPr>
        <w:widowControl/>
        <w:adjustRightInd w:val="0"/>
        <w:snapToGrid w:val="0"/>
        <w:spacing w:after="217" w:afterLines="50" w:line="560" w:lineRule="exact"/>
        <w:ind w:firstLine="643" w:firstLineChars="200"/>
        <w:rPr>
          <w:rFonts w:hint="default" w:ascii="仿宋_GB2312" w:hAnsi="华文楷体" w:eastAsia="仿宋_GB2312" w:cs="Times New Roman"/>
          <w:b/>
          <w:bCs/>
          <w:sz w:val="32"/>
          <w:szCs w:val="32"/>
          <w:lang w:val="en-GB"/>
        </w:rPr>
      </w:pPr>
      <w:bookmarkStart w:id="176" w:name="_Toc19923"/>
      <w:bookmarkStart w:id="177" w:name="_Toc14642"/>
      <w:bookmarkStart w:id="178" w:name="_Toc26751"/>
      <w:bookmarkStart w:id="179" w:name="_Toc24416"/>
      <w:bookmarkStart w:id="180" w:name="_Toc19491"/>
      <w:bookmarkStart w:id="181" w:name="_Toc4136"/>
      <w:bookmarkStart w:id="182" w:name="_Toc883"/>
      <w:bookmarkStart w:id="183" w:name="_Toc24376"/>
      <w:bookmarkStart w:id="184" w:name="_Toc13984"/>
      <w:bookmarkStart w:id="185" w:name="_Toc8866"/>
      <w:bookmarkStart w:id="186" w:name="_Toc4683"/>
      <w:bookmarkStart w:id="187" w:name="_Toc10487"/>
      <w:bookmarkStart w:id="188" w:name="_Toc29199"/>
      <w:bookmarkStart w:id="189" w:name="_Toc31514"/>
      <w:bookmarkStart w:id="190" w:name="_Toc507"/>
      <w:bookmarkStart w:id="191" w:name="_Toc3746"/>
      <w:r>
        <w:rPr>
          <w:rFonts w:hint="eastAsia" w:ascii="仿宋_GB2312" w:hAnsi="华文楷体" w:eastAsia="仿宋_GB2312" w:cs="Times New Roman"/>
          <w:b/>
          <w:bCs/>
          <w:sz w:val="32"/>
          <w:szCs w:val="32"/>
          <w:lang w:val="en-GB" w:eastAsia="zh-CN"/>
        </w:rPr>
        <w:t>（</w:t>
      </w:r>
      <w:r>
        <w:rPr>
          <w:rFonts w:hint="eastAsia" w:ascii="仿宋_GB2312" w:hAnsi="华文楷体" w:eastAsia="仿宋_GB2312" w:cs="Times New Roman"/>
          <w:b/>
          <w:bCs/>
          <w:sz w:val="32"/>
          <w:szCs w:val="32"/>
          <w:lang w:val="en-US" w:eastAsia="zh-CN"/>
        </w:rPr>
        <w:t>二）</w:t>
      </w:r>
      <w:r>
        <w:rPr>
          <w:rFonts w:hint="default" w:ascii="仿宋_GB2312" w:hAnsi="华文楷体" w:eastAsia="仿宋_GB2312" w:cs="Times New Roman"/>
          <w:b/>
          <w:bCs/>
          <w:sz w:val="32"/>
          <w:szCs w:val="32"/>
          <w:lang w:val="en-GB"/>
        </w:rPr>
        <w:t>影响项目收益的风险及控制措施</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Start w:id="192" w:name="_Toc13900"/>
      <w:bookmarkStart w:id="193" w:name="_Toc6236"/>
      <w:bookmarkStart w:id="194" w:name="_Toc31921"/>
      <w:bookmarkStart w:id="195" w:name="_Toc5304"/>
      <w:bookmarkStart w:id="196" w:name="_Toc5235"/>
      <w:bookmarkStart w:id="197" w:name="_Toc5991"/>
      <w:bookmarkStart w:id="198" w:name="_Toc3107"/>
      <w:bookmarkStart w:id="199" w:name="_Toc14557"/>
      <w:bookmarkStart w:id="200" w:name="_Toc21486"/>
      <w:bookmarkStart w:id="201" w:name="_Toc16822"/>
      <w:bookmarkStart w:id="202" w:name="_Toc28724"/>
    </w:p>
    <w:p w14:paraId="699E2F69">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US" w:eastAsia="zh-CN"/>
        </w:rPr>
      </w:pPr>
      <w:bookmarkStart w:id="203" w:name="_Toc25153"/>
      <w:bookmarkStart w:id="204" w:name="_Toc28047"/>
      <w:bookmarkStart w:id="205" w:name="_Toc5307"/>
      <w:r>
        <w:rPr>
          <w:rFonts w:hint="eastAsia" w:ascii="仿宋_GB2312" w:hAnsi="华文楷体" w:eastAsia="仿宋_GB2312" w:cs="Times New Roman"/>
          <w:sz w:val="32"/>
          <w:szCs w:val="32"/>
          <w:lang w:val="en-US" w:eastAsia="zh-CN"/>
        </w:rPr>
        <w:t>1.</w:t>
      </w:r>
      <w:r>
        <w:rPr>
          <w:rFonts w:hint="default" w:ascii="仿宋_GB2312" w:hAnsi="华文楷体" w:eastAsia="仿宋_GB2312" w:cs="Times New Roman"/>
          <w:sz w:val="32"/>
          <w:szCs w:val="32"/>
          <w:lang w:val="en-US" w:eastAsia="zh-CN"/>
        </w:rPr>
        <w:t>经营风险</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F07059A">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风险识别：经营风险是指生产经营的不确定性带来的风险。若项目投入运营后相关单价及数量未能达到预测值，将影响项目整体收益，对债券还本付息产生影响。</w:t>
      </w:r>
    </w:p>
    <w:p w14:paraId="3ECF41F2">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风险控制措施：要求项目管理单位密切关注项目各项收入支撑情况，根据实际情况调整收入策略，保证还本付息资金，若项目收益不足以平衡专项债券融资本息，则以该地区政府性基金收入来弥补。</w:t>
      </w:r>
    </w:p>
    <w:p w14:paraId="0A790BE3">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US" w:eastAsia="zh-CN"/>
        </w:rPr>
      </w:pPr>
      <w:bookmarkStart w:id="206" w:name="_Toc3907"/>
      <w:bookmarkStart w:id="207" w:name="_Toc31100"/>
      <w:bookmarkStart w:id="208" w:name="_Toc26267"/>
      <w:bookmarkStart w:id="209" w:name="_Toc25607"/>
      <w:r>
        <w:rPr>
          <w:rFonts w:hint="eastAsia" w:ascii="仿宋_GB2312" w:hAnsi="华文楷体" w:eastAsia="仿宋_GB2312" w:cs="Times New Roman"/>
          <w:sz w:val="32"/>
          <w:szCs w:val="32"/>
          <w:lang w:val="en-US" w:eastAsia="zh-CN"/>
        </w:rPr>
        <w:t>2.</w:t>
      </w:r>
      <w:r>
        <w:rPr>
          <w:rFonts w:hint="default" w:ascii="仿宋_GB2312" w:hAnsi="华文楷体" w:eastAsia="仿宋_GB2312" w:cs="Times New Roman"/>
          <w:sz w:val="32"/>
          <w:szCs w:val="32"/>
          <w:lang w:val="en-US" w:eastAsia="zh-CN"/>
        </w:rPr>
        <w:t>市场风险</w:t>
      </w:r>
      <w:bookmarkEnd w:id="206"/>
      <w:bookmarkEnd w:id="207"/>
      <w:bookmarkEnd w:id="208"/>
      <w:bookmarkEnd w:id="209"/>
    </w:p>
    <w:p w14:paraId="5373C2DD">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识别：在专项债券存续期内，国际、国内宏观经济环境的变化，国家经济政策变动等因素会引起债务资本市场利率的波动，市场利率波动将会对本项目的财务成本产生一定影响，进而影响项目投资收益的平衡。</w:t>
      </w:r>
    </w:p>
    <w:p w14:paraId="35B7DD50">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风险控制措施：要求项目单位合理安排债券发行金额和债券期限，做好债券的期限配比、还款计划和资金准备。</w:t>
      </w:r>
    </w:p>
    <w:p w14:paraId="5D63C4D5">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US" w:eastAsia="zh-CN"/>
        </w:rPr>
      </w:pPr>
      <w:bookmarkStart w:id="210" w:name="_Toc3003"/>
      <w:bookmarkStart w:id="211" w:name="_Toc8035"/>
      <w:bookmarkStart w:id="212" w:name="_Toc6809"/>
      <w:bookmarkStart w:id="213" w:name="_Toc28223"/>
      <w:bookmarkStart w:id="214" w:name="_Toc32471"/>
      <w:bookmarkStart w:id="215" w:name="_Toc11467"/>
      <w:bookmarkStart w:id="216" w:name="_Toc28630"/>
      <w:bookmarkStart w:id="217" w:name="_Toc24182"/>
      <w:bookmarkStart w:id="218" w:name="_Toc24549"/>
      <w:bookmarkStart w:id="219" w:name="_Toc22794"/>
      <w:bookmarkStart w:id="220" w:name="_Toc15492"/>
      <w:bookmarkStart w:id="221" w:name="_Toc26953"/>
      <w:bookmarkStart w:id="222" w:name="_Toc15630"/>
      <w:bookmarkStart w:id="223" w:name="_Toc21043"/>
      <w:r>
        <w:rPr>
          <w:rFonts w:hint="eastAsia" w:ascii="仿宋_GB2312" w:hAnsi="华文楷体" w:eastAsia="仿宋_GB2312" w:cs="Times New Roman"/>
          <w:sz w:val="32"/>
          <w:szCs w:val="32"/>
          <w:lang w:val="en-US" w:eastAsia="zh-CN"/>
        </w:rPr>
        <w:t>3.</w:t>
      </w:r>
      <w:r>
        <w:rPr>
          <w:rFonts w:hint="default" w:ascii="仿宋_GB2312" w:hAnsi="华文楷体" w:eastAsia="仿宋_GB2312" w:cs="Times New Roman"/>
          <w:sz w:val="32"/>
          <w:szCs w:val="32"/>
          <w:lang w:val="en-US" w:eastAsia="zh-CN"/>
        </w:rPr>
        <w:t>财务风险</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866EB94">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识别：由于项目建设周期较长，如果在项目建设过程中，受市场因素影响，项目施工所需的原材料价格上涨，将导致项目施工成本增加，财务负担加重，进而影响项目建设进度，以及项目建设期内专项债券的利息兑付，因此面临一定财务风险。</w:t>
      </w:r>
    </w:p>
    <w:p w14:paraId="56BC6537">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风险控制措施：项目可行性研究报告编制过程中，在测算项目总投资时已考虑相关风险。同时，在项目建设过程中，加强项目施工预算管理、招标及合同管理，尽可能控制建设成本。</w:t>
      </w:r>
    </w:p>
    <w:p w14:paraId="2A383FE6">
      <w:pPr>
        <w:widowControl/>
        <w:adjustRightInd w:val="0"/>
        <w:snapToGrid w:val="0"/>
        <w:spacing w:after="217" w:afterLines="50" w:line="560" w:lineRule="exact"/>
        <w:ind w:firstLine="643" w:firstLineChars="200"/>
        <w:rPr>
          <w:rFonts w:hint="default" w:ascii="仿宋_GB2312" w:hAnsi="华文楷体" w:eastAsia="仿宋_GB2312" w:cs="Times New Roman"/>
          <w:b/>
          <w:bCs/>
          <w:sz w:val="32"/>
          <w:szCs w:val="32"/>
          <w:lang w:val="en-GB"/>
        </w:rPr>
      </w:pPr>
      <w:bookmarkStart w:id="224" w:name="_Toc25562"/>
      <w:bookmarkStart w:id="225" w:name="_Toc22706"/>
      <w:bookmarkStart w:id="226" w:name="_Toc2500"/>
      <w:bookmarkStart w:id="227" w:name="_Toc31064"/>
      <w:bookmarkStart w:id="228" w:name="_Toc4114"/>
      <w:bookmarkStart w:id="229" w:name="_Toc27326"/>
      <w:r>
        <w:rPr>
          <w:rFonts w:hint="eastAsia" w:ascii="仿宋_GB2312" w:hAnsi="华文楷体" w:eastAsia="仿宋_GB2312" w:cs="Times New Roman"/>
          <w:b/>
          <w:bCs/>
          <w:sz w:val="32"/>
          <w:szCs w:val="32"/>
          <w:lang w:val="en-GB" w:eastAsia="zh-CN"/>
        </w:rPr>
        <w:t>（</w:t>
      </w:r>
      <w:r>
        <w:rPr>
          <w:rFonts w:hint="eastAsia" w:ascii="仿宋_GB2312" w:hAnsi="华文楷体" w:eastAsia="仿宋_GB2312" w:cs="Times New Roman"/>
          <w:b/>
          <w:bCs/>
          <w:sz w:val="32"/>
          <w:szCs w:val="32"/>
          <w:lang w:val="en-US" w:eastAsia="zh-CN"/>
        </w:rPr>
        <w:t>三）</w:t>
      </w:r>
      <w:r>
        <w:rPr>
          <w:rFonts w:hint="default" w:ascii="仿宋_GB2312" w:hAnsi="华文楷体" w:eastAsia="仿宋_GB2312" w:cs="Times New Roman"/>
          <w:b/>
          <w:bCs/>
          <w:sz w:val="32"/>
          <w:szCs w:val="32"/>
          <w:lang w:val="en-GB"/>
        </w:rPr>
        <w:t>影响融资平衡结果的风险及控制措施</w:t>
      </w:r>
      <w:bookmarkEnd w:id="224"/>
      <w:bookmarkEnd w:id="225"/>
      <w:bookmarkEnd w:id="226"/>
      <w:bookmarkEnd w:id="227"/>
      <w:bookmarkEnd w:id="228"/>
      <w:bookmarkEnd w:id="229"/>
      <w:bookmarkStart w:id="230" w:name="_Toc16691"/>
      <w:bookmarkStart w:id="231" w:name="_Toc3433"/>
      <w:bookmarkStart w:id="232" w:name="_Toc21323"/>
      <w:bookmarkStart w:id="233" w:name="_Toc11170"/>
      <w:bookmarkStart w:id="234" w:name="_Toc27749"/>
      <w:bookmarkStart w:id="235" w:name="_Toc20070"/>
      <w:bookmarkStart w:id="236" w:name="_Toc15364"/>
      <w:bookmarkStart w:id="237" w:name="_Toc30985"/>
      <w:bookmarkStart w:id="238" w:name="_Toc17618"/>
      <w:bookmarkStart w:id="239" w:name="_Toc21955"/>
      <w:bookmarkStart w:id="240" w:name="_Toc19043"/>
    </w:p>
    <w:p w14:paraId="6157C1A1">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US" w:eastAsia="zh-CN"/>
        </w:rPr>
      </w:pPr>
      <w:bookmarkStart w:id="241" w:name="_Toc24336"/>
      <w:bookmarkStart w:id="242" w:name="_Toc5640"/>
      <w:bookmarkStart w:id="243" w:name="_Toc27810"/>
      <w:r>
        <w:rPr>
          <w:rFonts w:hint="eastAsia" w:ascii="仿宋_GB2312" w:hAnsi="华文楷体" w:eastAsia="仿宋_GB2312" w:cs="Times New Roman"/>
          <w:sz w:val="32"/>
          <w:szCs w:val="32"/>
          <w:lang w:val="en-US" w:eastAsia="zh-CN"/>
        </w:rPr>
        <w:t>1.</w:t>
      </w:r>
      <w:r>
        <w:rPr>
          <w:rFonts w:hint="default" w:ascii="仿宋_GB2312" w:hAnsi="华文楷体" w:eastAsia="仿宋_GB2312" w:cs="Times New Roman"/>
          <w:sz w:val="32"/>
          <w:szCs w:val="32"/>
          <w:lang w:val="en-US" w:eastAsia="zh-CN"/>
        </w:rPr>
        <w:t>投资测算不准确风险</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09F3FF4F">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识别：投资测算不准确风险是指在项目收益测算时，基于相关单价和测算量的假设，测算结果可能与实际结果存在一定的差距；此外，测算可能含有不可避免的人为误差。因此，投资测算不准确会影响到项目整体的收益、成本，对债券还本付息造成影响。</w:t>
      </w:r>
    </w:p>
    <w:p w14:paraId="226F41A5">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风险控制措施：对测算中的基本假设进行合理性评估，应当符合当地经济社会发展的现实情况；对投资测算的部分由专业的会计师事务所进行复核，尽可能的减小人为误差到可控范围。</w:t>
      </w:r>
    </w:p>
    <w:p w14:paraId="4817FD84">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US" w:eastAsia="zh-CN"/>
        </w:rPr>
      </w:pPr>
      <w:bookmarkStart w:id="244" w:name="_Toc23495"/>
      <w:bookmarkStart w:id="245" w:name="_Toc29249"/>
      <w:bookmarkStart w:id="246" w:name="_Toc9041"/>
      <w:bookmarkStart w:id="247" w:name="_Toc19452"/>
      <w:bookmarkStart w:id="248" w:name="_Toc9244"/>
      <w:bookmarkStart w:id="249" w:name="_Toc17976"/>
      <w:bookmarkStart w:id="250" w:name="_Toc19919"/>
      <w:bookmarkStart w:id="251" w:name="_Toc26204"/>
      <w:bookmarkStart w:id="252" w:name="_Toc32116"/>
      <w:bookmarkStart w:id="253" w:name="_Toc30360"/>
      <w:bookmarkStart w:id="254" w:name="_Toc2417"/>
      <w:bookmarkStart w:id="255" w:name="_Toc408"/>
      <w:bookmarkStart w:id="256" w:name="_Toc19273"/>
      <w:bookmarkStart w:id="257" w:name="_Toc15130"/>
      <w:r>
        <w:rPr>
          <w:rFonts w:hint="eastAsia" w:ascii="仿宋_GB2312" w:hAnsi="华文楷体" w:eastAsia="仿宋_GB2312" w:cs="Times New Roman"/>
          <w:sz w:val="32"/>
          <w:szCs w:val="32"/>
          <w:lang w:val="en-US" w:eastAsia="zh-CN"/>
        </w:rPr>
        <w:t>2.</w:t>
      </w:r>
      <w:r>
        <w:rPr>
          <w:rFonts w:hint="default" w:ascii="仿宋_GB2312" w:hAnsi="华文楷体" w:eastAsia="仿宋_GB2312" w:cs="Times New Roman"/>
          <w:sz w:val="32"/>
          <w:szCs w:val="32"/>
          <w:lang w:val="en-US" w:eastAsia="zh-CN"/>
        </w:rPr>
        <w:t>利率波动风险</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4A0FF96F">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识别：利率波动风险是指因利率变动，导致附息资产（如贷款或债券）而承担价值波动的风险。由于在本项目中，融资收益平衡专项债属于固定利率债券。若未来市场利率下降，政府的融资成本相较于当时的市场利率水平则偏高，对其产生不利影响。</w:t>
      </w:r>
    </w:p>
    <w:p w14:paraId="3954F8EF">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风险控制措施：可约定提前还债，降低利率波动带来融资成本变高的风险。</w:t>
      </w:r>
    </w:p>
    <w:p w14:paraId="02C9399F">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US" w:eastAsia="zh-CN"/>
        </w:rPr>
      </w:pPr>
      <w:bookmarkStart w:id="258" w:name="_Toc31433"/>
      <w:bookmarkStart w:id="259" w:name="_Toc14357"/>
      <w:bookmarkStart w:id="260" w:name="_Toc155"/>
      <w:bookmarkStart w:id="261" w:name="_Toc19741"/>
      <w:bookmarkStart w:id="262" w:name="_Toc10093"/>
      <w:bookmarkStart w:id="263" w:name="_Toc12844"/>
      <w:bookmarkStart w:id="264" w:name="_Toc5579"/>
      <w:bookmarkStart w:id="265" w:name="_Toc104"/>
      <w:bookmarkStart w:id="266" w:name="_Toc2695"/>
      <w:bookmarkStart w:id="267" w:name="_Toc18512"/>
      <w:bookmarkStart w:id="268" w:name="_Toc5283"/>
      <w:bookmarkStart w:id="269" w:name="_Toc7825"/>
      <w:bookmarkStart w:id="270" w:name="_Toc17060"/>
      <w:bookmarkStart w:id="271" w:name="_Toc25553"/>
      <w:r>
        <w:rPr>
          <w:rFonts w:hint="eastAsia" w:ascii="仿宋_GB2312" w:hAnsi="华文楷体" w:eastAsia="仿宋_GB2312" w:cs="Times New Roman"/>
          <w:sz w:val="32"/>
          <w:szCs w:val="32"/>
          <w:lang w:val="en-US" w:eastAsia="zh-CN"/>
        </w:rPr>
        <w:t>3.</w:t>
      </w:r>
      <w:r>
        <w:rPr>
          <w:rFonts w:hint="default" w:ascii="仿宋_GB2312" w:hAnsi="华文楷体" w:eastAsia="仿宋_GB2312" w:cs="Times New Roman"/>
          <w:sz w:val="32"/>
          <w:szCs w:val="32"/>
          <w:lang w:val="en-US" w:eastAsia="zh-CN"/>
        </w:rPr>
        <w:t>存续债券置换不畅风险</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1A123FFA">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识别：存续债券置换不畅风险，因债券置换有助于推动我国地方政府债务管理体制改革，有效化解地方政府存量债务风险，减轻地方政府的偿债压力，降低债务成本。债券置换过程中，可能存在操作性的风险，债权人、债务人等利益相关方不能达成一致共识，造成置换不畅的后果。</w:t>
      </w:r>
    </w:p>
    <w:p w14:paraId="22D7FF01">
      <w:pPr>
        <w:widowControl/>
        <w:adjustRightInd w:val="0"/>
        <w:snapToGrid w:val="0"/>
        <w:spacing w:after="217" w:afterLines="50" w:line="560" w:lineRule="exact"/>
        <w:ind w:firstLine="640" w:firstLineChars="200"/>
        <w:rPr>
          <w:rFonts w:hint="default" w:ascii="仿宋_GB2312" w:hAnsi="华文楷体" w:eastAsia="仿宋_GB2312" w:cs="Times New Roman"/>
          <w:sz w:val="32"/>
          <w:szCs w:val="32"/>
          <w:lang w:val="en-GB"/>
        </w:rPr>
      </w:pPr>
      <w:r>
        <w:rPr>
          <w:rFonts w:hint="default" w:ascii="仿宋_GB2312" w:hAnsi="华文楷体" w:eastAsia="仿宋_GB2312" w:cs="Times New Roman"/>
          <w:sz w:val="32"/>
          <w:szCs w:val="32"/>
          <w:lang w:val="en-GB"/>
        </w:rPr>
        <w:t>风险控制措施：不可一味用行政措施来规避操作风险，关键在于有效提高</w:t>
      </w:r>
      <w:r>
        <w:rPr>
          <w:rFonts w:hint="default" w:ascii="仿宋_GB2312" w:hAnsi="华文楷体" w:eastAsia="仿宋_GB2312" w:cs="Times New Roman"/>
          <w:sz w:val="32"/>
          <w:szCs w:val="32"/>
          <w:lang w:val="en-GB" w:eastAsia="zh-CN"/>
        </w:rPr>
        <w:t>法治化</w:t>
      </w:r>
      <w:r>
        <w:rPr>
          <w:rFonts w:hint="default" w:ascii="仿宋_GB2312" w:hAnsi="华文楷体" w:eastAsia="仿宋_GB2312" w:cs="Times New Roman"/>
          <w:sz w:val="32"/>
          <w:szCs w:val="32"/>
          <w:lang w:val="en-GB"/>
        </w:rPr>
        <w:t>程度和水平。可约定提前还债，降低利率波动带来融资成本变高的风险；完善政府市场定价机制，构成合理的地方政府债券利率的合理区间；根据地方的实际情况，建立完善债券风险预警机制和监控机制，且在操作工程中要严格按要求执行，从而保障投资者的利益。</w:t>
      </w:r>
    </w:p>
    <w:p w14:paraId="2CC85C3A">
      <w:pPr>
        <w:spacing w:before="240" w:after="120" w:line="560" w:lineRule="exact"/>
        <w:ind w:firstLine="640" w:firstLineChars="200"/>
        <w:rPr>
          <w:rFonts w:hint="eastAsia" w:ascii="仿宋_GB2312" w:eastAsia="仿宋_GB2312"/>
          <w:sz w:val="32"/>
          <w:szCs w:val="32"/>
        </w:rPr>
      </w:pPr>
      <w:r>
        <w:rPr>
          <w:rFonts w:hint="eastAsia" w:ascii="黑体" w:hAnsi="黑体" w:eastAsia="黑体"/>
          <w:sz w:val="32"/>
          <w:szCs w:val="32"/>
        </w:rPr>
        <w:t>七、还款保障情况</w:t>
      </w:r>
    </w:p>
    <w:p w14:paraId="1A907657">
      <w:pPr>
        <w:spacing w:line="560" w:lineRule="exact"/>
        <w:ind w:firstLine="640" w:firstLineChars="200"/>
        <w:rPr>
          <w:rFonts w:hint="eastAsia" w:ascii="仿宋_GB2312" w:hAnsi="仿宋" w:eastAsia="仿宋_GB2312"/>
          <w:sz w:val="32"/>
          <w:szCs w:val="32"/>
          <w:lang w:val="en-GB"/>
        </w:rPr>
      </w:pPr>
      <w:r>
        <w:rPr>
          <w:rFonts w:hint="eastAsia" w:ascii="仿宋_GB2312" w:eastAsia="仿宋_GB2312"/>
          <w:sz w:val="32"/>
          <w:szCs w:val="32"/>
        </w:rPr>
        <w:t>按照《国务院办公厅关于印发地方政府性债务风险应急处置预案的通知》（国办函〔2016〕88号）规定，本级政府对地方政府债券依法承担全部偿还责任。本级财政将按照《财政部关于印发&lt;地方政府专项债务预算管理办法&gt;的通知》（财预〔2016〕155号）规定，及时按照转贷协议约定逐级向省财政缴纳本级应当承担的还本付息资金，由省财政按照合同约定及时偿还专项债券到期本息。如偿债出现困难，将通过调减投资计划、处置可变现资产、调整预算支出结构等方式筹集资金偿还债务。未按时足额向省财政缴纳专项债券还本付息资金的,省财政采取适当方式扣回。</w:t>
      </w:r>
    </w:p>
    <w:p w14:paraId="463FCCC7">
      <w:pPr>
        <w:numPr>
          <w:ilvl w:val="0"/>
          <w:numId w:val="5"/>
        </w:numPr>
        <w:spacing w:before="240" w:after="120" w:line="560" w:lineRule="exact"/>
        <w:ind w:firstLine="640" w:firstLineChars="200"/>
        <w:rPr>
          <w:rFonts w:hint="eastAsia" w:ascii="黑体" w:hAnsi="黑体" w:eastAsia="黑体"/>
          <w:sz w:val="32"/>
          <w:szCs w:val="32"/>
        </w:rPr>
      </w:pPr>
      <w:r>
        <w:rPr>
          <w:rFonts w:hint="eastAsia" w:ascii="黑体" w:hAnsi="黑体" w:eastAsia="黑体"/>
          <w:sz w:val="32"/>
          <w:szCs w:val="32"/>
        </w:rPr>
        <w:t>主管部门和项目单位职责</w:t>
      </w:r>
    </w:p>
    <w:p w14:paraId="42483BB8">
      <w:pPr>
        <w:spacing w:line="560" w:lineRule="exact"/>
        <w:ind w:firstLine="640" w:firstLineChars="200"/>
        <w:rPr>
          <w:rFonts w:hint="eastAsia" w:ascii="仿宋_GB2312" w:hAnsi="Calibri" w:eastAsia="仿宋_GB2312" w:cs="Times New Roman"/>
          <w:sz w:val="32"/>
          <w:szCs w:val="32"/>
          <w:lang w:eastAsia="zh-CN"/>
        </w:rPr>
      </w:pPr>
      <w:bookmarkStart w:id="272" w:name="_Hlk84430567"/>
      <w:r>
        <w:rPr>
          <w:rFonts w:hint="eastAsia" w:ascii="仿宋_GB2312" w:hAnsi="Calibri" w:eastAsia="仿宋_GB2312" w:cs="Times New Roman"/>
          <w:sz w:val="32"/>
          <w:szCs w:val="32"/>
          <w:lang w:val="en-US" w:eastAsia="zh-CN"/>
        </w:rPr>
        <w:t>本项目</w:t>
      </w:r>
      <w:r>
        <w:rPr>
          <w:rFonts w:hint="eastAsia" w:ascii="仿宋_GB2312" w:eastAsia="仿宋_GB2312" w:cs="Times New Roman"/>
          <w:sz w:val="32"/>
          <w:szCs w:val="32"/>
          <w:lang w:val="en-US" w:eastAsia="zh-CN"/>
        </w:rPr>
        <w:t>主管部门</w:t>
      </w:r>
      <w:r>
        <w:rPr>
          <w:rFonts w:hint="eastAsia" w:ascii="仿宋_GB2312" w:hAnsi="Calibri" w:eastAsia="仿宋_GB2312" w:cs="Times New Roman"/>
          <w:sz w:val="32"/>
          <w:szCs w:val="32"/>
          <w:lang w:val="en-US" w:eastAsia="zh-CN"/>
        </w:rPr>
        <w:t>和业主单位均为</w:t>
      </w:r>
      <w:r>
        <w:rPr>
          <w:rFonts w:hint="eastAsia" w:ascii="仿宋_GB2312" w:eastAsia="仿宋_GB2312" w:cs="Times New Roman"/>
          <w:sz w:val="32"/>
          <w:szCs w:val="32"/>
          <w:lang w:val="en-US" w:eastAsia="zh-CN"/>
        </w:rPr>
        <w:t>泸定县教育和体育局</w:t>
      </w:r>
      <w:r>
        <w:rPr>
          <w:rFonts w:hint="eastAsia" w:ascii="仿宋_GB2312" w:hAnsi="Calibri" w:eastAsia="仿宋_GB2312" w:cs="Times New Roman"/>
          <w:sz w:val="32"/>
          <w:szCs w:val="32"/>
          <w:lang w:val="en-US" w:eastAsia="zh-CN"/>
        </w:rPr>
        <w:t>。主要职责为：把控项目实施进度，对项目运营进行监管。保障资金流向正确</w:t>
      </w:r>
      <w:r>
        <w:rPr>
          <w:rFonts w:hint="eastAsia" w:ascii="仿宋_GB2312" w:hAnsi="Calibri" w:eastAsia="仿宋_GB2312" w:cs="Times New Roman"/>
          <w:sz w:val="32"/>
          <w:szCs w:val="32"/>
          <w:lang w:eastAsia="zh-CN"/>
        </w:rPr>
        <w:t>。</w:t>
      </w:r>
      <w:bookmarkEnd w:id="272"/>
    </w:p>
    <w:p w14:paraId="4069F28B">
      <w:pPr>
        <w:numPr>
          <w:ilvl w:val="0"/>
          <w:numId w:val="6"/>
        </w:numPr>
        <w:spacing w:before="240" w:after="120" w:line="560" w:lineRule="exact"/>
        <w:ind w:firstLine="640" w:firstLineChars="200"/>
        <w:rPr>
          <w:rFonts w:hint="eastAsia" w:ascii="黑体" w:hAnsi="黑体" w:eastAsia="黑体"/>
          <w:sz w:val="32"/>
          <w:szCs w:val="32"/>
        </w:rPr>
      </w:pPr>
      <w:r>
        <w:rPr>
          <w:rFonts w:hint="eastAsia" w:ascii="黑体" w:hAnsi="黑体" w:eastAsia="黑体"/>
          <w:sz w:val="32"/>
          <w:szCs w:val="32"/>
        </w:rPr>
        <w:t>补充说明</w:t>
      </w:r>
    </w:p>
    <w:p w14:paraId="6B70348B">
      <w:pPr>
        <w:spacing w:line="560" w:lineRule="exact"/>
        <w:ind w:firstLine="632" w:firstLineChars="200"/>
        <w:rPr>
          <w:rFonts w:hint="eastAsia" w:ascii="仿宋_GB2312" w:hAnsi="仿宋_GB2312" w:eastAsia="仿宋_GB2312"/>
          <w:w w:val="99"/>
          <w:sz w:val="32"/>
          <w:szCs w:val="32"/>
        </w:rPr>
      </w:pPr>
      <w:r>
        <w:rPr>
          <w:rFonts w:hint="eastAsia" w:ascii="仿宋_GB2312" w:hAnsi="仿宋_GB2312" w:eastAsia="仿宋_GB2312"/>
          <w:w w:val="99"/>
          <w:sz w:val="32"/>
          <w:szCs w:val="32"/>
        </w:rPr>
        <w:t>根据发行计划及额度安排,此项目</w:t>
      </w:r>
      <w:r>
        <w:rPr>
          <w:rFonts w:hint="eastAsia" w:ascii="仿宋_GB2312" w:hAnsi="仿宋_GB2312" w:eastAsia="仿宋_GB2312"/>
          <w:w w:val="99"/>
          <w:sz w:val="32"/>
          <w:szCs w:val="32"/>
          <w:lang w:eastAsia="zh-CN"/>
        </w:rPr>
        <w:t>202</w:t>
      </w:r>
      <w:r>
        <w:rPr>
          <w:rFonts w:hint="eastAsia" w:ascii="仿宋_GB2312" w:hAnsi="仿宋_GB2312" w:eastAsia="仿宋_GB2312"/>
          <w:w w:val="99"/>
          <w:sz w:val="32"/>
          <w:szCs w:val="32"/>
          <w:lang w:val="en-US" w:eastAsia="zh-CN"/>
        </w:rPr>
        <w:t>6</w:t>
      </w:r>
      <w:r>
        <w:rPr>
          <w:rFonts w:hint="eastAsia" w:ascii="仿宋_GB2312" w:hAnsi="仿宋_GB2312" w:eastAsia="仿宋_GB2312"/>
          <w:w w:val="99"/>
          <w:sz w:val="32"/>
          <w:szCs w:val="32"/>
        </w:rPr>
        <w:t>年拟申请发行</w:t>
      </w:r>
      <w:r>
        <w:rPr>
          <w:rFonts w:hint="eastAsia" w:ascii="仿宋_GB2312" w:hAnsi="仿宋_GB2312" w:eastAsia="仿宋_GB2312"/>
          <w:w w:val="99"/>
          <w:sz w:val="32"/>
          <w:szCs w:val="32"/>
          <w:lang w:val="en-US" w:eastAsia="zh-CN"/>
        </w:rPr>
        <w:t>6000</w:t>
      </w:r>
      <w:r>
        <w:rPr>
          <w:rFonts w:hint="eastAsia" w:ascii="仿宋_GB2312" w:hAnsi="仿宋_GB2312" w:eastAsia="仿宋_GB2312"/>
          <w:w w:val="99"/>
          <w:sz w:val="32"/>
          <w:szCs w:val="32"/>
        </w:rPr>
        <w:t>万元</w:t>
      </w:r>
      <w:r>
        <w:rPr>
          <w:rFonts w:hint="eastAsia" w:ascii="仿宋_GB2312" w:hAnsi="仿宋_GB2312" w:eastAsia="仿宋_GB2312"/>
          <w:w w:val="99"/>
          <w:sz w:val="32"/>
          <w:szCs w:val="32"/>
          <w:lang w:val="en-US" w:eastAsia="zh-CN"/>
        </w:rPr>
        <w:t>，</w:t>
      </w:r>
      <w:r>
        <w:rPr>
          <w:rFonts w:hint="eastAsia" w:ascii="仿宋_GB2312" w:hAnsi="仿宋_GB2312" w:eastAsia="仿宋_GB2312"/>
          <w:w w:val="99"/>
          <w:sz w:val="32"/>
          <w:szCs w:val="32"/>
        </w:rPr>
        <w:t>本次拟发行</w:t>
      </w:r>
      <w:r>
        <w:rPr>
          <w:rFonts w:hint="eastAsia" w:ascii="仿宋_GB2312" w:hAnsi="仿宋_GB2312" w:eastAsia="仿宋_GB2312"/>
          <w:w w:val="99"/>
          <w:sz w:val="32"/>
          <w:szCs w:val="32"/>
          <w:lang w:val="en-US" w:eastAsia="zh-CN"/>
        </w:rPr>
        <w:t>6000</w:t>
      </w:r>
      <w:r>
        <w:rPr>
          <w:rFonts w:hint="eastAsia" w:ascii="仿宋_GB2312" w:hAnsi="仿宋_GB2312" w:eastAsia="仿宋_GB2312"/>
          <w:w w:val="99"/>
          <w:sz w:val="32"/>
          <w:szCs w:val="32"/>
        </w:rPr>
        <w:t>万元，期限</w:t>
      </w:r>
      <w:r>
        <w:rPr>
          <w:rFonts w:hint="eastAsia" w:ascii="仿宋_GB2312" w:hAnsi="仿宋_GB2312" w:eastAsia="仿宋_GB2312"/>
          <w:w w:val="99"/>
          <w:sz w:val="32"/>
          <w:szCs w:val="32"/>
          <w:lang w:val="en-US" w:eastAsia="zh-CN"/>
        </w:rPr>
        <w:t>30</w:t>
      </w:r>
      <w:r>
        <w:rPr>
          <w:rFonts w:hint="eastAsia" w:ascii="仿宋_GB2312" w:hAnsi="仿宋_GB2312" w:eastAsia="仿宋_GB2312"/>
          <w:w w:val="99"/>
          <w:sz w:val="32"/>
          <w:szCs w:val="32"/>
        </w:rPr>
        <w:t>年。</w:t>
      </w:r>
    </w:p>
    <w:p w14:paraId="754949C3">
      <w:pPr>
        <w:spacing w:line="560" w:lineRule="exact"/>
        <w:ind w:firstLine="632" w:firstLineChars="200"/>
        <w:rPr>
          <w:rFonts w:hint="default" w:ascii="仿宋_GB2312" w:hAnsi="仿宋_GB2312" w:eastAsia="仿宋_GB2312"/>
          <w:w w:val="99"/>
          <w:sz w:val="32"/>
          <w:szCs w:val="32"/>
          <w:lang w:val="en-US" w:eastAsia="zh-CN"/>
        </w:rPr>
      </w:pPr>
    </w:p>
    <w:sectPr>
      <w:pgSz w:w="11906" w:h="16838"/>
      <w:pgMar w:top="2098" w:right="1418" w:bottom="1588" w:left="1644" w:header="851" w:footer="992" w:gutter="0"/>
      <w:pgNumType w:fmt="decimal"/>
      <w:cols w:space="720" w:num="1"/>
      <w:docGrid w:type="lines" w:linePitch="435"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E68E7C79-6486-484A-9559-87BA74CCCF5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ED747B69-2F73-4D6A-A78D-F6A2E6C6A495}"/>
  </w:font>
  <w:font w:name="仿宋_GB2312">
    <w:panose1 w:val="02010609030101010101"/>
    <w:charset w:val="86"/>
    <w:family w:val="modern"/>
    <w:pitch w:val="default"/>
    <w:sig w:usb0="00000001" w:usb1="080E0000" w:usb2="00000000" w:usb3="00000000" w:csb0="00040000" w:csb1="00000000"/>
    <w:embedRegular r:id="rId3" w:fontKey="{E7C1E03C-4301-46B7-AC47-3996320C0387}"/>
  </w:font>
  <w:font w:name="仿宋">
    <w:panose1 w:val="02010609060101010101"/>
    <w:charset w:val="86"/>
    <w:family w:val="auto"/>
    <w:pitch w:val="default"/>
    <w:sig w:usb0="800002BF" w:usb1="38CF7CFA" w:usb2="00000016" w:usb3="00000000" w:csb0="00040001" w:csb1="00000000"/>
    <w:embedRegular r:id="rId4" w:fontKey="{26C685C3-3EDA-4B49-8F70-408CF8D79492}"/>
  </w:font>
  <w:font w:name="楷体_GB2312">
    <w:panose1 w:val="02010609030101010101"/>
    <w:charset w:val="86"/>
    <w:family w:val="auto"/>
    <w:pitch w:val="default"/>
    <w:sig w:usb0="00000001" w:usb1="080E0000" w:usb2="00000000" w:usb3="00000000" w:csb0="00040000" w:csb1="00000000"/>
    <w:embedRegular r:id="rId5" w:fontKey="{6F2E8652-2F7C-42D9-AC9E-2FC51D9B521B}"/>
  </w:font>
  <w:font w:name="楷体">
    <w:panose1 w:val="02010609060101010101"/>
    <w:charset w:val="86"/>
    <w:family w:val="modern"/>
    <w:pitch w:val="default"/>
    <w:sig w:usb0="800002BF" w:usb1="38CF7CFA" w:usb2="00000016" w:usb3="00000000" w:csb0="00040001" w:csb1="00000000"/>
  </w:font>
  <w:font w:name="方正楷体_GB2312">
    <w:panose1 w:val="02000000000000000000"/>
    <w:charset w:val="86"/>
    <w:family w:val="auto"/>
    <w:pitch w:val="default"/>
    <w:sig w:usb0="A00002BF" w:usb1="184F6CFA" w:usb2="00000012" w:usb3="00000000" w:csb0="00040001" w:csb1="00000000"/>
  </w:font>
  <w:font w:name="Cambria">
    <w:panose1 w:val="02040503050406030204"/>
    <w:charset w:val="00"/>
    <w:family w:val="roman"/>
    <w:pitch w:val="default"/>
    <w:sig w:usb0="E00006FF" w:usb1="420024FF" w:usb2="02000000" w:usb3="00000000" w:csb0="2000019F" w:csb1="00000000"/>
  </w:font>
  <w:font w:name="Univers 45 Light">
    <w:altName w:val="Courier New"/>
    <w:panose1 w:val="00000000000000000000"/>
    <w:charset w:val="00"/>
    <w:family w:val="swiss"/>
    <w:pitch w:val="default"/>
    <w:sig w:usb0="00000000" w:usb1="00000000" w:usb2="00000000" w:usb3="00000000" w:csb0="00000001" w:csb1="00000000"/>
  </w:font>
  <w:font w:name="方正小标宋简体">
    <w:panose1 w:val="03000509000000000000"/>
    <w:charset w:val="86"/>
    <w:family w:val="auto"/>
    <w:pitch w:val="default"/>
    <w:sig w:usb0="00000001" w:usb1="080E0000" w:usb2="00000000" w:usb3="00000000" w:csb0="00040000" w:csb1="00000000"/>
    <w:embedRegular r:id="rId6" w:fontKey="{08086E5D-760D-492C-BD93-243A429D559B}"/>
  </w:font>
  <w:font w:name="等线">
    <w:panose1 w:val="02010600030101010101"/>
    <w:charset w:val="86"/>
    <w:family w:val="auto"/>
    <w:pitch w:val="default"/>
    <w:sig w:usb0="A00002BF" w:usb1="38CF7CFA" w:usb2="00000016" w:usb3="00000000" w:csb0="0004000F" w:csb1="00000000"/>
    <w:embedRegular r:id="rId7" w:fontKey="{AB79C546-9F78-43DC-81B0-E679C3C650F7}"/>
  </w:font>
  <w:font w:name="华文楷体">
    <w:panose1 w:val="02010600040101010101"/>
    <w:charset w:val="86"/>
    <w:family w:val="auto"/>
    <w:pitch w:val="default"/>
    <w:sig w:usb0="00000287" w:usb1="080F0000" w:usb2="00000000" w:usb3="00000000" w:csb0="0004009F" w:csb1="DFD70000"/>
    <w:embedRegular r:id="rId8" w:fontKey="{E4E02D8D-E5D4-416A-9651-53139668737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025743">
    <w:pPr>
      <w:pStyle w:val="10"/>
      <w:rPr>
        <w:rFonts w:hint="default" w:ascii="Times New Roman" w:hAnsi="Times New Roman" w:cs="Times New Roman"/>
        <w:sz w:val="36"/>
        <w:szCs w:val="36"/>
      </w:rPr>
    </w:pPr>
    <w:r>
      <w:rPr>
        <w:rFonts w:hint="default" w:ascii="Times New Roman" w:hAnsi="Times New Roman" w:cs="Times New Roman"/>
        <w:sz w:val="36"/>
        <w:szCs w:val="36"/>
      </w:rPr>
      <mc:AlternateContent>
        <mc:Choice Requires="wps">
          <w:drawing>
            <wp:anchor distT="0" distB="0" distL="114300" distR="114300" simplePos="0" relativeHeight="251659264" behindDoc="0" locked="0" layoutInCell="1" allowOverlap="1">
              <wp:simplePos x="0" y="0"/>
              <wp:positionH relativeFrom="margin">
                <wp:align>inside</wp:align>
              </wp:positionH>
              <wp:positionV relativeFrom="paragraph">
                <wp:posOffset>0</wp:posOffset>
              </wp:positionV>
              <wp:extent cx="177165" cy="173355"/>
              <wp:effectExtent l="0" t="0" r="0" b="0"/>
              <wp:wrapNone/>
              <wp:docPr id="1" name="文本框 1"/>
              <wp:cNvGraphicFramePr/>
              <a:graphic xmlns:a="http://schemas.openxmlformats.org/drawingml/2006/main">
                <a:graphicData uri="http://schemas.microsoft.com/office/word/2010/wordprocessingShape">
                  <wps:wsp>
                    <wps:cNvSpPr txBox="1"/>
                    <wps:spPr>
                      <a:xfrm>
                        <a:off x="0" y="0"/>
                        <a:ext cx="177165" cy="173355"/>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43CEFE8C">
                          <w:pPr>
                            <w:pStyle w:val="10"/>
                            <w:rPr>
                              <w:sz w:val="28"/>
                              <w:szCs w:val="28"/>
                            </w:rPr>
                          </w:pPr>
                          <w:r>
                            <w:rPr>
                              <w:sz w:val="28"/>
                              <w:szCs w:val="28"/>
                            </w:rPr>
                            <w:fldChar w:fldCharType="begin"/>
                          </w:r>
                          <w:r>
                            <w:rPr>
                              <w:sz w:val="28"/>
                              <w:szCs w:val="28"/>
                            </w:rPr>
                            <w:instrText xml:space="preserve"> PAGE  \* MERGEFORMAT </w:instrText>
                          </w:r>
                          <w:r>
                            <w:rPr>
                              <w:sz w:val="28"/>
                              <w:szCs w:val="28"/>
                            </w:rPr>
                            <w:fldChar w:fldCharType="separate"/>
                          </w:r>
                          <w:r>
                            <w:rPr>
                              <w:sz w:val="28"/>
                              <w:szCs w:val="28"/>
                            </w:rPr>
                            <w:t>- 2 -</w:t>
                          </w:r>
                          <w:r>
                            <w:rPr>
                              <w:sz w:val="28"/>
                              <w:szCs w:val="28"/>
                            </w:rPr>
                            <w:fldChar w:fldCharType="end"/>
                          </w:r>
                        </w:p>
                      </w:txbxContent>
                    </wps:txbx>
                    <wps:bodyPr rot="0" spcFirstLastPara="0" vertOverflow="overflow" horzOverflow="overflow" vert="horz" wrap="square" lIns="0" tIns="0" rIns="0" bIns="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top:0pt;height:13.65pt;width:13.95pt;mso-position-horizontal:inside;mso-position-horizontal-relative:margin;z-index:251659264;mso-width-relative:page;mso-height-relative:page;" filled="f" stroked="f" coordsize="21600,21600" o:gfxdata="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">
              <v:fill on="f" focussize="0,0"/>
              <v:stroke on="f" weight="0.5pt"/>
              <v:imagedata o:title=""/>
              <o:lock v:ext="edit" aspectratio="f"/>
              <v:textbox inset="0mm,0mm,0mm,0mm">
                <w:txbxContent>
                  <w:p w14:paraId="43CEFE8C">
                    <w:pPr>
                      <w:pStyle w:val="10"/>
                      <w:rPr>
                        <w:sz w:val="28"/>
                        <w:szCs w:val="28"/>
                      </w:rPr>
                    </w:pPr>
                    <w:r>
                      <w:rPr>
                        <w:sz w:val="28"/>
                        <w:szCs w:val="28"/>
                      </w:rPr>
                      <w:fldChar w:fldCharType="begin"/>
                    </w:r>
                    <w:r>
                      <w:rPr>
                        <w:sz w:val="28"/>
                        <w:szCs w:val="28"/>
                      </w:rPr>
                      <w:instrText xml:space="preserve"> PAGE  \* MERGEFORMAT </w:instrText>
                    </w:r>
                    <w:r>
                      <w:rPr>
                        <w:sz w:val="28"/>
                        <w:szCs w:val="28"/>
                      </w:rPr>
                      <w:fldChar w:fldCharType="separate"/>
                    </w:r>
                    <w:r>
                      <w:rPr>
                        <w:sz w:val="28"/>
                        <w:szCs w:val="28"/>
                      </w:rPr>
                      <w:t>- 2 -</w:t>
                    </w:r>
                    <w:r>
                      <w:rPr>
                        <w:sz w:val="28"/>
                        <w:szCs w:val="28"/>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90E61E">
    <w:pPr>
      <w:pStyle w:val="10"/>
      <w:jc w:val="right"/>
      <w:rPr>
        <w:rFonts w:ascii="宋体" w:hAnsi="宋体"/>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inside</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74798A4C">
                          <w:pPr>
                            <w:pStyle w:val="10"/>
                            <w:jc w:val="right"/>
                          </w:pP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Calibri"/>
                            </w:rPr>
                            <w:t>- 3 -</w:t>
                          </w:r>
                          <w:r>
                            <w:rPr>
                              <w:rFonts w:ascii="宋体" w:hAnsi="宋体"/>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in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UuKWy90CAAAkBgAADgAAAAAAAAABACAAAAAfAQAAZHJzL2Uyb0RvYy54bWxQSwUG&#10;AAAAAAYABgBZAQAAbgYAAAAA&#10;">
              <v:fill on="f" focussize="0,0"/>
              <v:stroke on="f" weight="0.5pt"/>
              <v:imagedata o:title=""/>
              <o:lock v:ext="edit" aspectratio="f"/>
              <v:textbox inset="0mm,0mm,0mm,0mm" style="mso-fit-shape-to-text:t;">
                <w:txbxContent>
                  <w:p w14:paraId="74798A4C">
                    <w:pPr>
                      <w:pStyle w:val="10"/>
                      <w:jc w:val="right"/>
                    </w:pP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Calibri"/>
                      </w:rPr>
                      <w:t>- 3 -</w:t>
                    </w:r>
                    <w:r>
                      <w:rPr>
                        <w:rFonts w:ascii="宋体" w:hAnsi="宋体"/>
                        <w:sz w:val="28"/>
                        <w:szCs w:val="2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7A6793">
    <w:pPr>
      <w:pStyle w:val="10"/>
      <w:rPr>
        <w:rFonts w:ascii="宋体" w:hAnsi="宋体"/>
        <w:sz w:val="28"/>
        <w:szCs w:val="28"/>
      </w:rPr>
    </w:pP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Calibri"/>
      </w:rPr>
      <w:t>- 4 -</w:t>
    </w:r>
    <w:r>
      <w:rPr>
        <w:rFonts w:ascii="宋体" w:hAnsi="宋体"/>
        <w:sz w:val="28"/>
        <w:szCs w:val="28"/>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59B966">
    <w:pPr>
      <w:pStyle w:val="11"/>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EB37D2">
    <w:pPr>
      <w:pStyle w:val="11"/>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44D9DF">
    <w:pPr>
      <w:pStyle w:val="11"/>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082FCFF"/>
    <w:multiLevelType w:val="multilevel"/>
    <w:tmpl w:val="C082FCFF"/>
    <w:lvl w:ilvl="0" w:tentative="0">
      <w:start w:val="1"/>
      <w:numFmt w:val="chineseCounting"/>
      <w:suff w:val="nothing"/>
      <w:lvlText w:val="（%1）"/>
      <w:lvlJc w:val="left"/>
      <w:pPr>
        <w:ind w:left="0" w:firstLine="420"/>
      </w:pPr>
      <w:rPr>
        <w:rFonts w:hint="eastAsia"/>
      </w:rPr>
    </w:lvl>
    <w:lvl w:ilvl="1" w:tentative="0">
      <w:start w:val="1"/>
      <w:numFmt w:val="decimal"/>
      <w:pStyle w:val="3"/>
      <w:suff w:val="nothing"/>
      <w:lvlText w:val="%2．"/>
      <w:lvlJc w:val="left"/>
      <w:pPr>
        <w:tabs>
          <w:tab w:val="left" w:pos="0"/>
        </w:tabs>
        <w:ind w:left="280" w:firstLine="420"/>
      </w:pPr>
      <w:rPr>
        <w:rFonts w:hint="eastAsia"/>
      </w:rPr>
    </w:lvl>
    <w:lvl w:ilvl="2" w:tentative="0">
      <w:start w:val="1"/>
      <w:numFmt w:val="decimal"/>
      <w:suff w:val="nothing"/>
      <w:lvlText w:val="（%3）"/>
      <w:lvlJc w:val="left"/>
      <w:pPr>
        <w:ind w:left="0" w:firstLine="420"/>
      </w:pPr>
      <w:rPr>
        <w:rFonts w:hint="eastAsia"/>
      </w:rPr>
    </w:lvl>
    <w:lvl w:ilvl="3" w:tentative="0">
      <w:start w:val="1"/>
      <w:numFmt w:val="decimalEnclosedCircleChinese"/>
      <w:suff w:val="nothing"/>
      <w:lvlText w:val="%4"/>
      <w:lvlJc w:val="left"/>
      <w:pPr>
        <w:ind w:left="0" w:firstLine="420"/>
      </w:pPr>
      <w:rPr>
        <w:rFonts w:hint="eastAsia"/>
      </w:rPr>
    </w:lvl>
    <w:lvl w:ilvl="4" w:tentative="0">
      <w:start w:val="1"/>
      <w:numFmt w:val="decimal"/>
      <w:suff w:val="nothing"/>
      <w:lvlText w:val="%5）"/>
      <w:lvlJc w:val="left"/>
      <w:pPr>
        <w:ind w:left="0" w:firstLine="420"/>
      </w:pPr>
      <w:rPr>
        <w:rFonts w:hint="eastAsia"/>
      </w:rPr>
    </w:lvl>
    <w:lvl w:ilvl="5" w:tentative="0">
      <w:start w:val="1"/>
      <w:numFmt w:val="lowerLetter"/>
      <w:suff w:val="nothing"/>
      <w:lvlText w:val="%6．"/>
      <w:lvlJc w:val="left"/>
      <w:pPr>
        <w:ind w:left="0" w:firstLine="420"/>
      </w:pPr>
      <w:rPr>
        <w:rFonts w:hint="eastAsia"/>
      </w:rPr>
    </w:lvl>
    <w:lvl w:ilvl="6" w:tentative="0">
      <w:start w:val="1"/>
      <w:numFmt w:val="lowerLetter"/>
      <w:suff w:val="nothing"/>
      <w:lvlText w:val="%7）"/>
      <w:lvlJc w:val="left"/>
      <w:pPr>
        <w:ind w:left="0" w:firstLine="420"/>
      </w:pPr>
      <w:rPr>
        <w:rFonts w:hint="eastAsia"/>
      </w:rPr>
    </w:lvl>
    <w:lvl w:ilvl="7" w:tentative="0">
      <w:start w:val="1"/>
      <w:numFmt w:val="lowerRoman"/>
      <w:suff w:val="nothing"/>
      <w:lvlText w:val="%8．"/>
      <w:lvlJc w:val="left"/>
      <w:pPr>
        <w:ind w:left="0" w:firstLine="420"/>
      </w:pPr>
      <w:rPr>
        <w:rFonts w:hint="eastAsia"/>
      </w:rPr>
    </w:lvl>
    <w:lvl w:ilvl="8" w:tentative="0">
      <w:start w:val="1"/>
      <w:numFmt w:val="lowerRoman"/>
      <w:suff w:val="nothing"/>
      <w:lvlText w:val="%9）"/>
      <w:lvlJc w:val="left"/>
      <w:pPr>
        <w:ind w:left="0" w:firstLine="420"/>
      </w:pPr>
      <w:rPr>
        <w:rFonts w:hint="eastAsia"/>
      </w:rPr>
    </w:lvl>
  </w:abstractNum>
  <w:abstractNum w:abstractNumId="1">
    <w:nsid w:val="D6AAE62B"/>
    <w:multiLevelType w:val="singleLevel"/>
    <w:tmpl w:val="D6AAE62B"/>
    <w:lvl w:ilvl="0" w:tentative="0">
      <w:start w:val="8"/>
      <w:numFmt w:val="chineseCounting"/>
      <w:suff w:val="nothing"/>
      <w:lvlText w:val="%1、"/>
      <w:lvlJc w:val="left"/>
      <w:rPr>
        <w:rFonts w:hint="eastAsia"/>
      </w:rPr>
    </w:lvl>
  </w:abstractNum>
  <w:abstractNum w:abstractNumId="2">
    <w:nsid w:val="0000000A"/>
    <w:multiLevelType w:val="singleLevel"/>
    <w:tmpl w:val="0000000A"/>
    <w:lvl w:ilvl="0" w:tentative="0">
      <w:start w:val="9"/>
      <w:numFmt w:val="chineseCounting"/>
      <w:suff w:val="nothing"/>
      <w:lvlText w:val="%1、"/>
      <w:lvlJc w:val="left"/>
    </w:lvl>
  </w:abstractNum>
  <w:abstractNum w:abstractNumId="3">
    <w:nsid w:val="4E325AC8"/>
    <w:multiLevelType w:val="singleLevel"/>
    <w:tmpl w:val="4E325AC8"/>
    <w:lvl w:ilvl="0" w:tentative="0">
      <w:start w:val="1"/>
      <w:numFmt w:val="bullet"/>
      <w:lvlText w:val=""/>
      <w:lvlJc w:val="left"/>
      <w:pPr>
        <w:ind w:left="420" w:hanging="420"/>
      </w:pPr>
      <w:rPr>
        <w:rFonts w:hint="default" w:ascii="Wingdings" w:hAnsi="Wingdings"/>
      </w:rPr>
    </w:lvl>
  </w:abstractNum>
  <w:abstractNum w:abstractNumId="4">
    <w:nsid w:val="61B5C826"/>
    <w:multiLevelType w:val="singleLevel"/>
    <w:tmpl w:val="61B5C826"/>
    <w:lvl w:ilvl="0" w:tentative="0">
      <w:start w:val="2"/>
      <w:numFmt w:val="chineseCounting"/>
      <w:suff w:val="nothing"/>
      <w:lvlText w:val="%1、"/>
      <w:lvlJc w:val="left"/>
      <w:rPr>
        <w:rFonts w:hint="eastAsia"/>
      </w:rPr>
    </w:lvl>
  </w:abstractNum>
  <w:abstractNum w:abstractNumId="5">
    <w:nsid w:val="73E2A25E"/>
    <w:multiLevelType w:val="multilevel"/>
    <w:tmpl w:val="73E2A25E"/>
    <w:lvl w:ilvl="0" w:tentative="0">
      <w:start w:val="1"/>
      <w:numFmt w:val="chineseCountingThousand"/>
      <w:suff w:val="nothing"/>
      <w:lvlText w:val="%1、"/>
      <w:lvlJc w:val="left"/>
      <w:pPr>
        <w:ind w:left="425" w:hanging="425"/>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lang w:val="zh-CN" w:eastAsia="zh-CN"/>
      </w:rPr>
    </w:lvl>
    <w:lvl w:ilvl="1" w:tentative="0">
      <w:start w:val="1"/>
      <w:numFmt w:val="chineseCountingThousand"/>
      <w:suff w:val="nothing"/>
      <w:lvlText w:val="（%2）"/>
      <w:lvlJc w:val="left"/>
      <w:pPr>
        <w:ind w:left="992" w:hanging="567"/>
      </w:pPr>
      <w:rPr>
        <w:rFonts w:hint="eastAsia"/>
      </w:rPr>
    </w:lvl>
    <w:lvl w:ilvl="2" w:tentative="0">
      <w:start w:val="1"/>
      <w:numFmt w:val="decimal"/>
      <w:pStyle w:val="4"/>
      <w:suff w:val="nothing"/>
      <w:lvlText w:val="%3. "/>
      <w:lvlJc w:val="left"/>
      <w:pPr>
        <w:ind w:left="992" w:hanging="567"/>
      </w:pPr>
      <w:rPr>
        <w:rFonts w:hint="eastAsia"/>
      </w:rPr>
    </w:lvl>
    <w:lvl w:ilvl="3" w:tentative="0">
      <w:start w:val="1"/>
      <w:numFmt w:val="decimal"/>
      <w:pStyle w:val="5"/>
      <w:suff w:val="nothing"/>
      <w:lvlText w:val="（%4）"/>
      <w:lvlJc w:val="left"/>
      <w:pPr>
        <w:ind w:left="992" w:hanging="425"/>
      </w:pPr>
      <w:rPr>
        <w:rFonts w:hint="eastAsia"/>
      </w:rPr>
    </w:lvl>
    <w:lvl w:ilvl="4" w:tentative="0">
      <w:start w:val="1"/>
      <w:numFmt w:val="decimal"/>
      <w:suff w:val="nothing"/>
      <w:lvlText w:val="%5）"/>
      <w:lvlJc w:val="left"/>
      <w:pPr>
        <w:ind w:left="992" w:hanging="113"/>
      </w:pPr>
      <w:rPr>
        <w:rFonts w:hint="eastAsia"/>
      </w:rPr>
    </w:lvl>
    <w:lvl w:ilvl="5" w:tentative="0">
      <w:start w:val="1"/>
      <w:numFmt w:val="decimal"/>
      <w:suff w:val="nothing"/>
      <w:lvlText w:val="附件%6 "/>
      <w:lvlJc w:val="left"/>
      <w:pPr>
        <w:ind w:left="0" w:firstLine="0"/>
      </w:pPr>
      <w:rPr>
        <w:rFonts w:hint="eastAsia"/>
      </w:rPr>
    </w:lvl>
    <w:lvl w:ilvl="6" w:tentative="0">
      <w:start w:val="1"/>
      <w:numFmt w:val="chineseCountingThousand"/>
      <w:suff w:val="nothing"/>
      <w:lvlText w:val="%7、"/>
      <w:lvlJc w:val="left"/>
      <w:pPr>
        <w:ind w:left="992" w:hanging="567"/>
      </w:pPr>
      <w:rPr>
        <w:rFonts w:hint="eastAsia"/>
      </w:rPr>
    </w:lvl>
    <w:lvl w:ilvl="7" w:tentative="0">
      <w:start w:val="1"/>
      <w:numFmt w:val="chineseCountingThousand"/>
      <w:suff w:val="nothing"/>
      <w:lvlText w:val="（%8）"/>
      <w:lvlJc w:val="left"/>
      <w:pPr>
        <w:ind w:left="992" w:hanging="567"/>
      </w:pPr>
      <w:rPr>
        <w:rFonts w:hint="eastAsia"/>
      </w:rPr>
    </w:lvl>
    <w:lvl w:ilvl="8" w:tentative="0">
      <w:start w:val="1"/>
      <w:numFmt w:val="decimal"/>
      <w:suff w:val="nothing"/>
      <w:lvlText w:val="%9. "/>
      <w:lvlJc w:val="left"/>
      <w:pPr>
        <w:ind w:left="992" w:hanging="567"/>
      </w:pPr>
      <w:rPr>
        <w:rFonts w:hint="eastAsia"/>
      </w:rPr>
    </w:lvl>
  </w:abstractNum>
  <w:num w:numId="1">
    <w:abstractNumId w:val="0"/>
  </w:num>
  <w:num w:numId="2">
    <w:abstractNumId w:val="5"/>
  </w:num>
  <w:num w:numId="3">
    <w:abstractNumId w:val="4"/>
  </w:num>
  <w:num w:numId="4">
    <w:abstractNumId w:val="3"/>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HorizontalSpacing w:val="160"/>
  <w:drawingGridVerticalSpacing w:val="435"/>
  <w:displayHorizontalDrawingGridEvery w:val="0"/>
  <w:displayVerticalDrawingGridEvery w:val="1"/>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RlOGQ1Y2ViN2MyZDVlN2JlOTZmZjNlMWZlMjk3MWQifQ=="/>
  </w:docVars>
  <w:rsids>
    <w:rsidRoot w:val="00172A27"/>
    <w:rsid w:val="000044AC"/>
    <w:rsid w:val="000B6F19"/>
    <w:rsid w:val="000F22A2"/>
    <w:rsid w:val="00220BA1"/>
    <w:rsid w:val="002628D5"/>
    <w:rsid w:val="002C334D"/>
    <w:rsid w:val="00383353"/>
    <w:rsid w:val="005C4576"/>
    <w:rsid w:val="006A439B"/>
    <w:rsid w:val="0081728C"/>
    <w:rsid w:val="008529BF"/>
    <w:rsid w:val="008D6788"/>
    <w:rsid w:val="008F32B8"/>
    <w:rsid w:val="0094293A"/>
    <w:rsid w:val="00954378"/>
    <w:rsid w:val="009778B3"/>
    <w:rsid w:val="00990BF9"/>
    <w:rsid w:val="009D70EF"/>
    <w:rsid w:val="00AD4CD6"/>
    <w:rsid w:val="00AF23D7"/>
    <w:rsid w:val="00AF6192"/>
    <w:rsid w:val="00B255DD"/>
    <w:rsid w:val="00BA780C"/>
    <w:rsid w:val="00BC63FC"/>
    <w:rsid w:val="00D34B90"/>
    <w:rsid w:val="00D4281F"/>
    <w:rsid w:val="00D94ECD"/>
    <w:rsid w:val="00DB4E35"/>
    <w:rsid w:val="00E67D39"/>
    <w:rsid w:val="00FA386D"/>
    <w:rsid w:val="0507241C"/>
    <w:rsid w:val="08290EB3"/>
    <w:rsid w:val="0FD95516"/>
    <w:rsid w:val="107F1488"/>
    <w:rsid w:val="11292E41"/>
    <w:rsid w:val="122B3096"/>
    <w:rsid w:val="170852E7"/>
    <w:rsid w:val="1B431583"/>
    <w:rsid w:val="1D385D84"/>
    <w:rsid w:val="1F00736D"/>
    <w:rsid w:val="234D3C8B"/>
    <w:rsid w:val="244A3D98"/>
    <w:rsid w:val="24C9685A"/>
    <w:rsid w:val="2C2A3EFA"/>
    <w:rsid w:val="368C11C2"/>
    <w:rsid w:val="37016795"/>
    <w:rsid w:val="3810391C"/>
    <w:rsid w:val="3A652442"/>
    <w:rsid w:val="43EE21D3"/>
    <w:rsid w:val="49576715"/>
    <w:rsid w:val="4C433D48"/>
    <w:rsid w:val="4EE5726A"/>
    <w:rsid w:val="6EB877F5"/>
    <w:rsid w:val="71B0505E"/>
    <w:rsid w:val="723E578E"/>
    <w:rsid w:val="77CF08F7"/>
    <w:rsid w:val="7DB51B83"/>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仿宋_GB2312" w:hAnsi="Calibri" w:eastAsia="仿宋_GB2312"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qFormat="1" w:unhideWhenUsed="0" w:uiPriority="0" w:semiHidden="0"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2"/>
      <w:lang w:val="en-US" w:eastAsia="zh-CN" w:bidi="ar-SA"/>
    </w:rPr>
  </w:style>
  <w:style w:type="paragraph" w:styleId="3">
    <w:name w:val="heading 2"/>
    <w:basedOn w:val="1"/>
    <w:next w:val="1"/>
    <w:unhideWhenUsed/>
    <w:qFormat/>
    <w:uiPriority w:val="0"/>
    <w:pPr>
      <w:numPr>
        <w:ilvl w:val="1"/>
        <w:numId w:val="1"/>
      </w:numPr>
      <w:tabs>
        <w:tab w:val="left" w:pos="3285"/>
      </w:tabs>
      <w:ind w:firstLine="0" w:firstLineChars="0"/>
      <w:jc w:val="left"/>
      <w:outlineLvl w:val="1"/>
    </w:pPr>
    <w:rPr>
      <w:rFonts w:eastAsia="楷体"/>
      <w:b/>
      <w:sz w:val="32"/>
    </w:rPr>
  </w:style>
  <w:style w:type="paragraph" w:styleId="4">
    <w:name w:val="heading 3"/>
    <w:basedOn w:val="1"/>
    <w:next w:val="1"/>
    <w:unhideWhenUsed/>
    <w:qFormat/>
    <w:uiPriority w:val="9"/>
    <w:pPr>
      <w:keepNext/>
      <w:keepLines/>
      <w:numPr>
        <w:ilvl w:val="2"/>
        <w:numId w:val="2"/>
      </w:numPr>
      <w:adjustRightInd w:val="0"/>
      <w:spacing w:line="600" w:lineRule="exact"/>
      <w:ind w:left="0" w:firstLine="420" w:firstLineChars="200"/>
      <w:outlineLvl w:val="2"/>
    </w:pPr>
    <w:rPr>
      <w:rFonts w:ascii="Calibri" w:hAnsi="Calibri" w:eastAsia="仿宋_GB2312"/>
      <w:b/>
      <w:bCs/>
      <w:sz w:val="32"/>
      <w:szCs w:val="32"/>
    </w:rPr>
  </w:style>
  <w:style w:type="paragraph" w:styleId="5">
    <w:name w:val="heading 4"/>
    <w:basedOn w:val="1"/>
    <w:next w:val="1"/>
    <w:unhideWhenUsed/>
    <w:qFormat/>
    <w:uiPriority w:val="9"/>
    <w:pPr>
      <w:keepNext/>
      <w:keepLines/>
      <w:numPr>
        <w:ilvl w:val="3"/>
        <w:numId w:val="2"/>
      </w:numPr>
      <w:tabs>
        <w:tab w:val="left" w:pos="0"/>
      </w:tabs>
      <w:spacing w:beforeLines="0" w:beforeAutospacing="0" w:afterLines="0" w:afterAutospacing="0" w:line="600" w:lineRule="exact"/>
      <w:ind w:left="992" w:hanging="425" w:firstLineChars="0"/>
      <w:outlineLvl w:val="3"/>
    </w:pPr>
    <w:rPr>
      <w:rFonts w:ascii="Arial" w:hAnsi="Arial" w:cs="Times New Roman"/>
    </w:rPr>
  </w:style>
  <w:style w:type="character" w:default="1" w:styleId="15">
    <w:name w:val="Default Paragraph Font"/>
    <w:qFormat/>
    <w:uiPriority w:val="0"/>
  </w:style>
  <w:style w:type="table" w:default="1" w:styleId="14">
    <w:name w:val="Normal Table"/>
    <w:unhideWhenUsed/>
    <w:qFormat/>
    <w:uiPriority w:val="99"/>
    <w:tblPr>
      <w:tblCellMar>
        <w:top w:w="0" w:type="dxa"/>
        <w:left w:w="108" w:type="dxa"/>
        <w:bottom w:w="0" w:type="dxa"/>
        <w:right w:w="108" w:type="dxa"/>
      </w:tblCellMar>
    </w:tblPr>
  </w:style>
  <w:style w:type="paragraph" w:styleId="2">
    <w:name w:val="Normal Indent"/>
    <w:basedOn w:val="1"/>
    <w:qFormat/>
    <w:uiPriority w:val="0"/>
    <w:pPr>
      <w:ind w:firstLine="420" w:firstLineChars="200"/>
    </w:pPr>
  </w:style>
  <w:style w:type="paragraph" w:styleId="6">
    <w:name w:val="Body Text"/>
    <w:basedOn w:val="1"/>
    <w:next w:val="7"/>
    <w:link w:val="18"/>
    <w:qFormat/>
    <w:uiPriority w:val="0"/>
    <w:pPr>
      <w:widowControl/>
      <w:spacing w:after="120" w:afterLines="0"/>
      <w:jc w:val="left"/>
    </w:pPr>
    <w:rPr>
      <w:rFonts w:ascii="Times New Roman" w:hAnsi="Times New Roman"/>
      <w:szCs w:val="24"/>
    </w:rPr>
  </w:style>
  <w:style w:type="paragraph" w:styleId="7">
    <w:name w:val="toc 1"/>
    <w:basedOn w:val="1"/>
    <w:next w:val="1"/>
    <w:qFormat/>
    <w:uiPriority w:val="0"/>
  </w:style>
  <w:style w:type="paragraph" w:styleId="8">
    <w:name w:val="Block Text"/>
    <w:basedOn w:val="1"/>
    <w:qFormat/>
    <w:uiPriority w:val="0"/>
    <w:pPr>
      <w:spacing w:after="120" w:afterLines="0" w:afterAutospacing="0"/>
      <w:ind w:left="1440" w:leftChars="700" w:rightChars="700"/>
    </w:pPr>
  </w:style>
  <w:style w:type="paragraph" w:styleId="9">
    <w:name w:val="Plain Text"/>
    <w:basedOn w:val="1"/>
    <w:link w:val="19"/>
    <w:qFormat/>
    <w:uiPriority w:val="0"/>
    <w:rPr>
      <w:rFonts w:ascii="宋体" w:hAnsi="Courier New" w:eastAsia="仿宋_GB2312"/>
      <w:szCs w:val="21"/>
    </w:rPr>
  </w:style>
  <w:style w:type="paragraph" w:styleId="10">
    <w:name w:val="footer"/>
    <w:basedOn w:val="1"/>
    <w:link w:val="20"/>
    <w:qFormat/>
    <w:uiPriority w:val="0"/>
    <w:pPr>
      <w:tabs>
        <w:tab w:val="center" w:pos="4153"/>
        <w:tab w:val="right" w:pos="8306"/>
      </w:tabs>
      <w:snapToGrid w:val="0"/>
      <w:jc w:val="left"/>
    </w:pPr>
    <w:rPr>
      <w:rFonts w:ascii="仿宋_GB2312" w:eastAsia="仿宋_GB2312"/>
      <w:sz w:val="18"/>
      <w:szCs w:val="18"/>
    </w:rPr>
  </w:style>
  <w:style w:type="paragraph" w:styleId="11">
    <w:name w:val="header"/>
    <w:basedOn w:val="1"/>
    <w:link w:val="21"/>
    <w:qFormat/>
    <w:uiPriority w:val="0"/>
    <w:pPr>
      <w:tabs>
        <w:tab w:val="center" w:pos="4153"/>
        <w:tab w:val="right" w:pos="8306"/>
      </w:tabs>
      <w:snapToGrid w:val="0"/>
      <w:spacing w:line="620" w:lineRule="exact"/>
      <w:ind w:firstLine="200" w:firstLineChars="200"/>
      <w:jc w:val="center"/>
    </w:pPr>
    <w:rPr>
      <w:rFonts w:ascii="仿宋_GB2312" w:eastAsia="仿宋_GB2312"/>
      <w:sz w:val="18"/>
      <w:szCs w:val="18"/>
    </w:rPr>
  </w:style>
  <w:style w:type="paragraph" w:styleId="12">
    <w:name w:val="Subtitle"/>
    <w:basedOn w:val="1"/>
    <w:next w:val="1"/>
    <w:link w:val="22"/>
    <w:qFormat/>
    <w:uiPriority w:val="0"/>
    <w:pPr>
      <w:adjustRightInd w:val="0"/>
      <w:snapToGrid w:val="0"/>
      <w:spacing w:before="240" w:beforeLines="0" w:after="60" w:afterLines="0" w:line="312" w:lineRule="auto"/>
      <w:jc w:val="center"/>
    </w:pPr>
    <w:rPr>
      <w:rFonts w:ascii="Cambria" w:hAnsi="Cambria" w:eastAsia="黑体"/>
      <w:b/>
      <w:bCs/>
      <w:kern w:val="28"/>
      <w:sz w:val="24"/>
      <w:szCs w:val="32"/>
    </w:rPr>
  </w:style>
  <w:style w:type="paragraph" w:styleId="13">
    <w:name w:val="Normal (Web)"/>
    <w:basedOn w:val="1"/>
    <w:qFormat/>
    <w:uiPriority w:val="0"/>
    <w:pPr>
      <w:spacing w:before="100" w:beforeAutospacing="1" w:after="100" w:afterAutospacing="1"/>
      <w:ind w:left="0" w:right="0"/>
      <w:jc w:val="left"/>
    </w:pPr>
    <w:rPr>
      <w:kern w:val="0"/>
      <w:sz w:val="24"/>
      <w:lang w:val="en-US" w:eastAsia="zh-CN" w:bidi="ar"/>
    </w:rPr>
  </w:style>
  <w:style w:type="paragraph" w:customStyle="1" w:styleId="16">
    <w:name w:val="方案正文"/>
    <w:basedOn w:val="13"/>
    <w:qFormat/>
    <w:uiPriority w:val="0"/>
    <w:pPr>
      <w:widowControl/>
      <w:spacing w:beforeAutospacing="0" w:afterAutospacing="0" w:line="560" w:lineRule="exact"/>
    </w:pPr>
    <w:rPr>
      <w:rFonts w:ascii="仿宋" w:hAnsi="仿宋" w:cs="Times New Roman"/>
      <w:kern w:val="0"/>
      <w:sz w:val="28"/>
      <w:szCs w:val="32"/>
    </w:rPr>
  </w:style>
  <w:style w:type="paragraph" w:customStyle="1" w:styleId="17">
    <w:name w:val="Default"/>
    <w:qFormat/>
    <w:uiPriority w:val="0"/>
    <w:pPr>
      <w:widowControl w:val="0"/>
      <w:autoSpaceDE w:val="0"/>
      <w:autoSpaceDN w:val="0"/>
      <w:adjustRightInd w:val="0"/>
    </w:pPr>
    <w:rPr>
      <w:rFonts w:ascii="Univers 45 Light" w:hAnsi="Times New Roman" w:eastAsia="Univers 45 Light" w:cs="Univers 45 Light"/>
      <w:color w:val="000000"/>
      <w:sz w:val="24"/>
      <w:szCs w:val="24"/>
      <w:lang w:val="en-US" w:eastAsia="zh-CN" w:bidi="ar-SA"/>
    </w:rPr>
  </w:style>
  <w:style w:type="character" w:customStyle="1" w:styleId="18">
    <w:name w:val="正文文本 Char"/>
    <w:link w:val="6"/>
    <w:qFormat/>
    <w:uiPriority w:val="0"/>
    <w:rPr>
      <w:rFonts w:ascii="Times New Roman" w:hAnsi="Times New Roman" w:eastAsia="宋体"/>
      <w:kern w:val="2"/>
      <w:sz w:val="21"/>
      <w:szCs w:val="24"/>
    </w:rPr>
  </w:style>
  <w:style w:type="character" w:customStyle="1" w:styleId="19">
    <w:name w:val="纯文本 Char"/>
    <w:link w:val="9"/>
    <w:qFormat/>
    <w:uiPriority w:val="0"/>
    <w:rPr>
      <w:rFonts w:ascii="宋体" w:hAnsi="Courier New" w:cs="Courier New"/>
      <w:kern w:val="2"/>
      <w:sz w:val="21"/>
      <w:szCs w:val="21"/>
    </w:rPr>
  </w:style>
  <w:style w:type="character" w:customStyle="1" w:styleId="20">
    <w:name w:val="页脚 Char"/>
    <w:link w:val="10"/>
    <w:qFormat/>
    <w:uiPriority w:val="0"/>
    <w:rPr>
      <w:kern w:val="2"/>
      <w:sz w:val="18"/>
      <w:szCs w:val="18"/>
    </w:rPr>
  </w:style>
  <w:style w:type="character" w:customStyle="1" w:styleId="21">
    <w:name w:val="页眉 Char"/>
    <w:link w:val="11"/>
    <w:qFormat/>
    <w:uiPriority w:val="0"/>
    <w:rPr>
      <w:kern w:val="2"/>
      <w:sz w:val="18"/>
      <w:szCs w:val="18"/>
    </w:rPr>
  </w:style>
  <w:style w:type="character" w:customStyle="1" w:styleId="22">
    <w:name w:val="副标题 Char"/>
    <w:link w:val="12"/>
    <w:qFormat/>
    <w:uiPriority w:val="0"/>
    <w:rPr>
      <w:rFonts w:ascii="Cambria" w:hAnsi="Cambria" w:eastAsia="黑体"/>
      <w:b/>
      <w:bCs/>
      <w:kern w:val="28"/>
      <w:sz w:val="24"/>
      <w:szCs w:val="32"/>
    </w:rPr>
  </w:style>
  <w:style w:type="character" w:customStyle="1" w:styleId="23">
    <w:name w:val="纯文本 字符1"/>
    <w:qFormat/>
    <w:uiPriority w:val="0"/>
    <w:rPr>
      <w:rFonts w:ascii="宋体" w:hAnsi="Courier New" w:eastAsia="宋体" w:cs="Courier New"/>
      <w:kern w:val="2"/>
      <w:sz w:val="21"/>
      <w:szCs w:val="21"/>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1.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MS</Company>
  <Pages>50</Pages>
  <Words>6356</Words>
  <Characters>7058</Characters>
  <Lines>7</Lines>
  <Paragraphs>2</Paragraphs>
  <TotalTime>2</TotalTime>
  <ScaleCrop>false</ScaleCrop>
  <LinksUpToDate>false</LinksUpToDate>
  <CharactersWithSpaces>7076</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2019-03-07T04:03:00Z</dcterms:created>
  <dc:creator>曾智强</dc:creator>
  <cp:lastModifiedBy>榆木❀</cp:lastModifiedBy>
  <cp:lastPrinted>2019-12-06T07:34:00Z</cp:lastPrinted>
  <dcterms:modified xsi:type="dcterms:W3CDTF">2026-01-08T07:07:51Z</dcterms:modified>
  <dc:title>内江市市中区乐贤工业集中区</dc:title>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A9C666BBFE194DECB98FCB3006806AC0_13</vt:lpwstr>
  </property>
  <property fmtid="{D5CDD505-2E9C-101B-9397-08002B2CF9AE}" pid="4" name="KSOTemplateDocerSaveRecord">
    <vt:lpwstr>eyJoZGlkIjoiZmQ5Y2IyMTQxZmU1MDRiZmFjZTc2NDg3YWEzZDRmZjciLCJ1c2VySWQiOiIzMTg0MzI4OTAifQ==</vt:lpwstr>
  </property>
</Properties>
</file>